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30.040 rijen: alle 18.437 oorspronkelijke bronbesluiten, drie eerdere identificatie-aliassen, 6.121 volledig bewaarde oorspronkelijke taxoncontexten, 5.478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verwerkt tot een bronbesluit.</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Er zijn 137 aanvullende regels met samen 649 dieren op 75 bezoeken opgenomen zonder nulafleiding. Elf verschillen tussen positieve SOVON- en positieve NDFF-telwaarden wachten op een bronbesluit.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w:t>
      </w:r>
      <w:r>
        <w:t xml:space="preserve"> </w:t>
      </w:r>
      <w:r>
        <w:rPr>
          <w:rStyle w:val="VerbatimChar"/>
        </w:rPr>
        <w:t xml:space="preserve">territoria</w:t>
      </w:r>
      <w:r>
        <w:t xml:space="preserve"> </w:t>
      </w:r>
      <w:r>
        <w:t xml:space="preserve">bevat na de niet-conflicterende verwerking tot en met 2007 112.709 regels uit 1958-2025.</w:t>
      </w:r>
      <w:r>
        <w:t xml:space="preserve"> </w:t>
      </w:r>
      <w:r>
        <w:rPr>
          <w:rStyle w:val="VerbatimChar"/>
        </w:rPr>
        <w:t xml:space="preserve">dagbezoeken_bmp</w:t>
      </w:r>
      <w:r>
        <w:t xml:space="preserve"> </w:t>
      </w:r>
      <w:r>
        <w:t xml:space="preserve">bevat voor 1984-2007 alle 6.782 in-scope SOVON-bezoeken uit de downloads al ongewijzigd. De download is dus geen tweede in te voeren gegevenslaag: per jaar wordt hij met de bestaande kerntabellen vergeleken en alleen een vastgesteld, besloten aanvullend gegeven leidt tot een wijziging.</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w:t>
      </w:r>
      <w:r>
        <w:t xml:space="preserve"> </w:t>
      </w:r>
      <w:r>
        <w:rPr>
          <w:rStyle w:val="VerbatimChar"/>
        </w:rPr>
        <w:t xml:space="preserve">plot_jaar_teller</w:t>
      </w:r>
      <w:r>
        <w:t xml:space="preserve"> </w:t>
      </w:r>
      <w:r>
        <w:t xml:space="preserve">bevat daarna 2.456 regels.</w:t>
      </w:r>
    </w:p>
    <w:p>
      <w:pPr>
        <w:pStyle w:val="BodyText"/>
      </w:pPr>
      <w:r>
        <w:rPr>
          <w:b/>
          <w:bCs/>
        </w:rPr>
        <w:t xml:space="preserve">Goedkeuringsstatus territoria, 1 oktober 2026.</w:t>
      </w:r>
      <w:r>
        <w:t xml:space="preserve"> </w:t>
      </w:r>
      <w:r>
        <w:t xml:space="preserve">De inhoudelijke regel is dat</w:t>
      </w:r>
      <w:r>
        <w:t xml:space="preserve"> </w:t>
      </w:r>
      <w:r>
        <w:rPr>
          <w:rStyle w:val="VerbatimChar"/>
        </w:rPr>
        <w:t xml:space="preserve">territoria</w:t>
      </w:r>
      <w:r>
        <w:t xml:space="preserve"> </w:t>
      </w:r>
      <w:r>
        <w:t xml:space="preserve">uitsluitend formele territoria uit goedgekeurde tellingen hoort te bevatten. De data-eigenaar heeft elf plotjaren als afgekeurd vastgesteld: 2009/M35, 2009/M36, 2012/M105, 2012/M54a, 2015/M53, 2018/M54b, 2018/M55, 2019/M78/79, 2019/M8, 2021/M61 en 2022/M1a. Acht daarvan stonden in</w:t>
      </w:r>
      <w:r>
        <w:t xml:space="preserve"> </w:t>
      </w:r>
      <w:r>
        <w:rPr>
          <w:rStyle w:val="VerbatimChar"/>
        </w:rPr>
        <w:t xml:space="preserve">territoria</w:t>
      </w:r>
      <w:r>
        <w:t xml:space="preserve">. De 142 betrokken regels met 1.017 territoria zijn op 1 oktober 2026, na gerichte herstelkopieën, uit de levende tabel verwijderd. Voor 2012/M105, 2015/M53 en 2021/M61 stonden al geen territoriumregels in de tabel.</w:t>
      </w:r>
      <w:r>
        <w:t xml:space="preserve"> </w:t>
      </w:r>
      <w:r>
        <w:rPr>
          <w:rStyle w:val="VerbatimChar"/>
        </w:rPr>
        <w:t xml:space="preserve">territoria</w:t>
      </w:r>
      <w:r>
        <w:t xml:space="preserve"> </w:t>
      </w:r>
      <w:r>
        <w:t xml:space="preserve">bevat daarna 71.013 regels; geen van de elf afgekeurde plotjaren komt er nog in voor. 2016/M62 (1 regel, 1 territorium) was een afzonderlijke roofvogeltelling en vervalt uit de BMP-tellersensitiviteitsanalyse; dit is een uitzondering op de vergelijkbaarheid, niet op de goedkeuringsstatus.</w:t>
      </w:r>
      <w:r>
        <w:t xml:space="preserve"> </w:t>
      </w:r>
      <w:r>
        <w:rPr>
          <w:rStyle w:val="VerbatimChar"/>
        </w:rPr>
        <w:t xml:space="preserve">dagbezoeken_bmp</w:t>
      </w:r>
      <w:r>
        <w:t xml:space="preserve"> </w:t>
      </w:r>
      <w:r>
        <w:t xml:space="preserve">en</w:t>
      </w:r>
      <w:r>
        <w:t xml:space="preserve"> </w:t>
      </w:r>
      <w:r>
        <w:rPr>
          <w:rStyle w:val="VerbatimChar"/>
        </w:rPr>
        <w:t xml:space="preserve">dagwaarnemingen_bmp</w:t>
      </w:r>
      <w:r>
        <w:t xml:space="preserve"> </w:t>
      </w:r>
      <w:r>
        <w:t xml:space="preserve">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w:t>
      </w:r>
      <w:r>
        <w:t xml:space="preserve"> </w:t>
      </w:r>
      <w:r>
        <w:rPr>
          <w:rStyle w:val="VerbatimChar"/>
        </w:rPr>
        <w:t xml:space="preserve">plot_jaar_teller</w:t>
      </w:r>
      <w:r>
        <w:t xml:space="preserve"> </w:t>
      </w:r>
      <w:r>
        <w:t xml:space="preserve">vastgelegd. Analyses gebruiken uitsluitend inhoudelijk goedgekeurde, protocolmatig vergelijkbare territoriumuitkomsten en de bijbehorende</w:t>
      </w:r>
      <w:r>
        <w:t xml:space="preserve"> </w:t>
      </w:r>
      <w:r>
        <w:rPr>
          <w:rStyle w:val="VerbatimChar"/>
        </w:rPr>
        <w:t xml:space="preserve">plot_jaar_teller</w:t>
      </w:r>
      <w:r>
        <w:t xml:space="preserve">-registraties.</w:t>
      </w:r>
    </w:p>
    <w:p>
      <w:pPr>
        <w:pStyle w:val="BodyText"/>
      </w:pPr>
      <w:r>
        <w:rPr>
          <w:b/>
          <w:bCs/>
        </w:rPr>
        <w:t xml:space="preserve">Natura 2000-analysescope vogelplots, vastgesteld 1 oktober 2026 en bijgewerkt na de controle van 2007.</w:t>
      </w:r>
      <w:r>
        <w:t xml:space="preserve"> </w:t>
      </w:r>
      <w:r>
        <w:t xml:space="preserve">De geldige bronverzameling</w:t>
      </w:r>
      <w:r>
        <w:t xml:space="preserve"> </w:t>
      </w:r>
      <w:r>
        <w:rPr>
          <w:rStyle w:val="VerbatimChar"/>
        </w:rPr>
        <w:t xml:space="preserve">territoria</w:t>
      </w:r>
      <w:r>
        <w:t xml:space="preserve"> </w:t>
      </w:r>
      <w:r>
        <w:t xml:space="preserve">bevat 112.709 regels, 54 plots en 2.168 plotjaren uit 1958–2025. M66 (Haagsche Golf Club,</w:t>
      </w:r>
      <w:r>
        <w:t xml:space="preserve"> </w:t>
      </w:r>
      <w:r>
        <w:rPr>
          <w:rStyle w:val="VerbatimChar"/>
        </w:rPr>
        <w:t xml:space="preserve">plot_id = 3503</w:t>
      </w:r>
      <w:r>
        <w:t xml:space="preserve">) bevat daarin 3.182 regels en 10.420 territoria in 39 jaren uit 1985–2025. M91 (Voorlinden,</w:t>
      </w:r>
      <w:r>
        <w:t xml:space="preserve"> </w:t>
      </w:r>
      <w:r>
        <w:rPr>
          <w:rStyle w:val="VerbatimChar"/>
        </w:rPr>
        <w:t xml:space="preserve">plot_id = 3514</w:t>
      </w:r>
      <w:r>
        <w:t xml:space="preserve">) bevat 928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108.599 territoriumregels, 52 plots en 2.111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2005–2007,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341 aanvullende bezoek-taxoncellen met samen 1.456 dieren: 81 regels op 46 bezoeken uit 2005, 123 regels op 72 bezoeken uit 2006 en 137 regels op 75 bezoeken uit 2007. De negen betrokken taxa zijn via versiegebonden koppelingen centraal bereikbaar. Gelijke bronwaarden zijn niet gedupliceerd. De twee positieve verschillen uit 2005 en acht uit 2006 staan met afzonderlijke herkomst naast het NDFF-auditspoor en gebruiken SOVON als leidende waarde; elf positieve verschillen uit 2007 wachten op een bronbesluit.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2026-10-03T16:27:39Z</dcterms:created>
  <dcterms:modified xsi:type="dcterms:W3CDTF">2026-10-03T16:27:39Z</dcterms:modified>
</cp:coreProperties>
</file>

<file path=docProps/custom.xml><?xml version="1.0" encoding="utf-8"?>
<Properties xmlns="http://schemas.openxmlformats.org/officeDocument/2006/custom-properties" xmlns:vt="http://schemas.openxmlformats.org/officeDocument/2006/docPropsVTypes"/>
</file>