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t>Stand: 14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BodyText"/>
      </w:pPr>
      <w:r>
        <w:rPr>
          <w:b/>
        </w:rPr>
        <w:t xml:space="preserve">Vergelijking met NDFF, 10 oktober 2026. </w:t>
      </w:r>
      <w:r>
        <w:t>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8 oktober 2026. </w:t>
      </w:r>
      <w:r>
        <w:t>De veertien afgeleide tabellen van Het Nieuwe Strepen, FLORBASE en LMF-A heten nu respectievelijk hns_*, florbase_* en lmfa_* 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 6dbc679887074501f0505ca784e4e494aecd5e3d. De releasehelper verwijderde uitsluitend de veertien oude ndff_hns_*-, ndff_florbase_*- en ndff_lmfa_*-tabelnamen. Het productieschema, de cachemodus SQL_CACHE=TRUE en de publieke rookproeven zijn daarna geslaagd.</w:t>
      </w:r>
    </w:p>
    <w:bookmarkEnd w:id="29"/>
    <w:bookmarkStart w:id="30" w:name="mossen-en-korstmossen"/>
    <w:p>
      <w:pPr>
        <w:pStyle w:val="Heading4"/>
      </w:pPr>
      <w:r>
        <w:t xml:space="preserve">1.5.14. Mossen en korstmossen</w:t>
      </w:r>
    </w:p>
    <w:p>
      <w:pPr>
        <w:pStyle w:val="FirstParagraph"/>
      </w:pPr>
      <w:r/>
      <w:r>
        <w:rPr>
          <w:b/>
        </w:rPr>
        <w:t>Omvang en periode.</w:t>
      </w:r>
      <w:r>
        <w:t xml:space="preserve"> De NDFF-levering bevat 384 korstmossenregels onder meetnetprotocol 02.202 uit 2000–2025 en 377 mossenregels onder protocol 02.204 uit 2000–2011.</w:t>
      </w:r>
    </w:p>
    <w:p>
      <w:pPr>
        <w:pStyle w:val="BodyText"/>
      </w:pPr>
      <w:r/>
      <w:r>
        <w:rPr>
          <w:b/>
        </w:rPr>
        <w:t>Nieuwe primaire bron, 8 oktober 2026.</w:t>
      </w:r>
      <w:r>
        <w:t xml:space="preserve"> 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 Kwantiteit, met vijf van de zes mogelijke klassen in deze selectie. Het rapportagejaar loopt meestal één jaar achter op de feitelijke velddatum; analyses gebruiken de velddatum.</w:t>
      </w:r>
    </w:p>
    <w:p>
      <w:pPr>
        <w:pStyle w:val="BodyText"/>
        <w:keepLines/>
      </w:pPr>
      <w:r/>
      <w:r>
        <w:rPr>
          <w:b/>
        </w:rPr>
        <w:t>Vergelijking met NDFF.</w:t>
      </w:r>
      <w:r>
        <w:t xml:space="preserve"> 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 Usnea articulata en drie verschillen alleen in de gebruikte wetenschappelijke naam. Die twintig regels en de precieze plotlocatie mogen niet in openbare afgeleide tabellen terechtkomen. De bron is ontvangen maar nog niet geïmporteerd.</w:t>
      </w:r>
    </w:p>
    <w:bookmarkEnd w:id="30"/>
    <w:bookmarkStart w:id="31" w:name="bos--en-zeereeppaddenstoelen"/>
    <w:p>
      <w:pPr>
        <w:pStyle w:val="BodyText"/>
      </w:pPr>
      <w:r/>
      <w:r>
        <w:rPr>
          <w:b/>
        </w:rPr>
        <w:t>Wat kan nu?</w:t>
      </w:r>
      <w:r>
        <w:t xml:space="preserve"> 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
        <w:rPr>
          <w:b/>
        </w:rPr>
        <w:t>Wat ontbreekt nog?</w:t>
      </w:r>
      <w:r>
        <w:t xml:space="preserve"> 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3"/>
      </w:pPr>
      <w:r>
        <w:t>1.9. Geografische namen en historische paden</w:t>
      </w:r>
    </w:p>
    <w:p>
      <w:pPr>
        <w:pStyle w:val="FirstParagraph"/>
      </w:pPr>
      <w:r>
        <w:t>Deze laag bevat geen soortenwaarnemingen. Zij legt actuele en historische namen van gebieden, paden, wegen en wandelroutes vast, met brongeometrie waar de geraadpleegde bron die verantwoord levert.</w:t>
      </w:r>
    </w:p>
    <w:p>
      <w:pPr>
        <w:pStyle w:val="BodyText"/>
      </w:pPr>
      <w:r>
        <w:rPr>
          <w:b/>
        </w:rPr>
        <w:t>Bronnen, omvang en periode.</w:t>
      </w:r>
      <w:r>
        <w:t xml:space="preserve"> Op 14 oktober 2026 is de levering meijendel_nameninventaris_2026-10-14 in de levende lokale database Meijendel opgenomen. De levering bevat 182 naamobjecten en 299 gedateerde vermeldingen uit 1602–2026, afkomstig uit acht bronsnapshots: Beekman 2021, Van Leeuwen en Jungerius 1992, Neefjes 2010, Van der Meijden 2012, BRT TOP10NL, een lokale OpenStreetMap-export en twee Dunea-bronnen. Van de 182 objecten hebben er 52 actueel bronbewijs, 104 historisch bronbewijs en 26 beide soorten bronbewijs. Deze status zegt alleen wat in de acht bronnen is aangetroffen; zij is geen verklaring dat een naam officieel is vastgesteld of elders niet meer wordt gebruikt.</w:t>
      </w:r>
    </w:p>
    <w:p>
      <w:pPr>
        <w:pStyle w:val="BodyText"/>
      </w:pPr>
      <w:r>
        <w:rPr>
          <w:b/>
        </w:rPr>
        <w:t>Ruimtelijke kwaliteit.</w:t>
      </w:r>
      <w:r>
        <w:t xml:space="preserve"> Voor 71 van de 182 naamobjecten is brongeometrie in RD New opgeslagen; 111 objecten hebben bewust geen geometrie en een expliciete beoordeling van de bronlacune. De actuele kaartbasis bestaat uit 47 TOP10NL-features, samengebracht tot 46 naamobjecten, en 60 OSM-lijnsegmenten, samengebracht tot 25 pad- en wegnamen. De 47 TOP10NL-feature-ID's en 60 OSM-way-ID's zijn afzonderlijk gekoppeld; er staan geen lijsten met bron-ID's in één databaseveld. Alle 71 geometrieën hebben SRID 28992, zijn niet leeg en zijn geldig. De RD-geometrieën stemmen na herprojectie overeen met de 71 geometrieën in het geleverde GeoJSON.</w:t>
      </w:r>
    </w:p>
    <w:p>
      <w:pPr>
        <w:pStyle w:val="BodyText"/>
      </w:pPr>
      <w:r>
        <w:t>TOP10NL is de officiële topografische kaartbasis en is beschikbaar onder CC BY 4.0. OpenStreetMap is communitydata onder de ODbL en geldt niet als officiële naamvaststelling. De objectactualiteit van de geselecteerde TOP10NL-features loopt per object uiteen; de OSM-export is een momentopname van 3 april 2026. Historische tekst- en kaartvermeldingen leveren zonder bijbehorende georeferentie geen exact vlak of tracé.</w:t>
      </w:r>
    </w:p>
    <w:p>
      <w:pPr>
        <w:pStyle w:val="BodyText"/>
      </w:pPr>
      <w:r>
        <w:t>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naamobjecten zonder geometrie. Zonder de oorspronkelijke 1:1.000-kaart uit 1987 wordt geen lijn gereconstrueerd.</w:t>
      </w:r>
    </w:p>
    <w:p>
      <w:pPr>
        <w:pStyle w:val="BodyText"/>
      </w:pPr>
      <w:r>
        <w:rPr>
          <w:b/>
        </w:rPr>
        <w:t>Database en validatie.</w:t>
      </w:r>
      <w:r>
        <w:t xml:space="preserve"> De bronlaag staat in zeven tabellen met prefix nameninventaris_: importbatch, bronnen, objecten, vermeldingen, geometrieën, geometrie-bronobjecten en beoordelingen. De import is gekoppeld aan leveringshash 72862f84d47daa3c98bb4e2960c57cc84945421619eaebd22d90a68791b7239c. De levende controle vond 0 dubbele beoordelingssleutels, 0 verweesde koppelingen en 0 ongeldige, lege of verkeerd geprojecteerde geometrieën. Een tweede import van dezelfde levering veranderde geen rijtelling of tabelchecksum. De databasebrede controle van 128 centrale taxonroutes gaf 0 fouten; de namenlaag bevat zelf geen taxa en vereist daarom geen taxonkoppeling.</w:t>
      </w:r>
    </w:p>
    <w:p>
      <w:pPr>
        <w:pStyle w:val="BodyText"/>
      </w:pPr>
      <w:r>
        <w:rPr>
          <w:b/>
        </w:rPr>
        <w:t>Gebruik en grens.</w:t>
      </w:r>
      <w:r>
        <w:t xml:space="preserve"> De laag is geschikt als bronvast namen- en locatieregister, voor kaartlabels, historische naamvarianten en later afzonderlijk te beoordelen relaties met andere ruimtelijke objecten. Zij is geen ecologische waarnemingslaag en bewijst geen aanwezigheid of afwezigheid van soorten. Er is geen automatische naamkoppeling gemaakt met VWG-kavels, plot_gebied, meijendel_basisgebied of meijendel_natura2000. De 111 objecten zonder geometrie mogen niet ruimtelijk worden geïnterpreteerd alsof hun ligging bekend is.</w:t>
      </w:r>
    </w:p>
    <w:p>
      <w:pPr>
        <w:pStyle w:val="BodyText"/>
      </w:pPr>
      <w:r>
        <w:rPr>
          <w:b/>
        </w:rPr>
        <w:t>Status.</w:t>
      </w:r>
      <w:r>
        <w:t xml:space="preserve"> Gevalideerd en op 14 oktober 2026 geïmporteerd in de levende lokale database Meijendel. Niet gepubliceerd naar de VPS. De zware afgeleide Meijendel.sql-export en Shiny-cache zijn niet vernieuwd.</w:t>
      </w:r>
    </w:p>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