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43</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98</w:t>
            </w:r>
          </w:p>
        </w:tc>
        <w:tc>
          <w:tcPr/>
          <w:p>
            <w:pPr>
              <w:pStyle w:val="Compact"/>
            </w:pPr>
            <w:r>
              <w:t xml:space="preserve">Relaties tussen uitvoering en bewijsbron, met bronrol en bewijsnotitie.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184</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275</w:t>
            </w:r>
          </w:p>
        </w:tc>
        <w:tc>
          <w:tcPr/>
          <w:p>
            <w:pPr>
              <w:pStyle w:val="Compact"/>
            </w:pPr>
            <w:r>
              <w:t xml:space="preserve">Bronvaste plot-jaarregels voor 1967–1969, 1972–1975, 1988–1991, 1993, 1997, 2002, 2005–2006, 2013–2014 en 2016–2025.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16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2026-10-16T09:36:04Z</dcterms:created>
  <dcterms:modified xsi:type="dcterms:W3CDTF">2026-10-16T09:36:04Z</dcterms:modified>
</cp:coreProperties>
</file>

<file path=docProps/custom.xml><?xml version="1.0" encoding="utf-8"?>
<Properties xmlns="http://schemas.openxmlformats.org/officeDocument/2006/custom-properties" xmlns:vt="http://schemas.openxmlformats.org/officeDocument/2006/docPropsVTypes"/>
</file>