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Title"/>
      </w:pPr>
      <w:r>
        <w:rPr>
          <w:color w:val="000000"/>
        </w:rPr>
        <w:t xml:space="preserve">Bronregister ecologische gegevens Meijendel</w:t>
      </w:r>
    </w:p>
    <w:p>
      <w:pPr>
        <w:pStyle w:val="BodyText"/>
      </w:pPr>
      <w:r>
        <w:rPr>
          <w:b/>
        </w:rPr>
        <w:t>Stand: 11 oktober 2026.</w:t>
      </w:r>
      <w:r>
        <w:t xml:space="preserve"> </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De 42 territoriummatrices bevatten 222.852 plot-soortregels: 52.450 positieve resultaten, 86.983 expliciete nulcellen en 83.419 lege cellen. Een lege cel geldt niet als nul. De puntlagen bevatten 22.305 bronwaarnemingen die nog niet in dagwaarnemingen_bmp staan; omgekeerd ontbreekt geen bestaande SOVON-bron-ID in de nieuwe levering. Bij 2.629 gedeelde bron-ID's levert SOVON broedcode 0 terwijl de database NULL 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rPr>
        <w:t>Afgeleide nullen uit jaarverslagen, uitgevoerd 7 oktober 2026.</w:t>
      </w:r>
      <w:r>
        <w:t xml:space="preserve"> Voor de zelfstandige bron jrvslg_m geldt bij TRIM een expliciete analyseaanname. De tellers telden alle vogelsoorten. De relevante soortpool bestaat daarom uit iedere soort met ten minste één geaccepteerd positief jrvslg_m-resultaat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 afgeleide_jaarverslagnul en hoort niet als bronregel in territoria. Binnen 662 getelde jrvslg_m-plotjaren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 jrvslg_m-plotjaar;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 meeuwen_literatuur 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BodyText"/>
      </w:pPr>
      <w:r>
        <w:rPr>
          <w:b/>
        </w:rPr>
        <w:t>Gebruik van de volledige PQ-samenstelling, 11 oktober 2026.</w:t>
      </w:r>
      <w:r>
        <w:t xml:space="preserve"> Voor de broedvogel–vegetatieanalyse zijn 1.314 van de 2.007 provinciale opnamen aan 35 actieve Natura 2000-vogelplots gekoppeld. Zij vormen 501 PQ-plotjaren en bevatten 642 van de 714 centrale taxa over 1981–2025. Een Hellinger-transformatie en drie compositieassen vatten 27,8% van de variatie samen. In de vogeloverlap van 37.140 soort–plot–jaarrijen, 406 vogelplotjaren, 35 plots en 154 soorten over 1989–2025 verbeteren deze assen de ruimtelijke voorspelling in vier van vijf plotblokken, maar niet de voorspelling van latere jaren in twee tijdsblokken. De uitkomst maakt de provinciale PQ-reeks bruikbaarder voor ruimtelijke habitatverschillen, maar levert nog geen voorspellende relatie tussen vegetatieverandering en vogelverandering.</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rPr>
        <w:t>Wat heeft FLORON bevestigd?</w:t>
      </w:r>
      <w:r>
        <w:t xml:space="preserve"> Op 6 oktober 2026 meldde FLORON dat één kalenderdag in één kilometerhok als telling mag worden beschouwd. Zo'n telling kan één, twee of drie oorspronkelijke lijsten omvatten. Persoonsgegevens en daarvan afgeleide waarnemerscodes worden niet geleverd. De uri of identity 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rPr>
        <w:t>Wat heeft FLORON bevestigd?</w:t>
      </w:r>
      <w:r>
        <w:t xml:space="preserve"> 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7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De oorspronkelijke NDFF-waarnemingen, bronvermelding en reconstructieversies blijven behouden. Alle tabelcontrolesommen zijn na de hernoeming gelijk aan de nulmeting en alle 18 foreign keys bleven intact; de centrale taxoncontrole geeft 128 werkende routes en nul fouten. De zware SQL-export en VPS-publicatie zijn nog niet uitgevoerd.</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rPr>
        <w:t xml:space="preserve">Omvang en periode in de levende database op 11 oktober 2026. </w:t>
      </w:r>
      <w:r>
        <w:t>24.837 dagregels, 1 januari 1958 tot en met 31 december 2025.</w:t>
      </w:r>
    </w:p>
    <w:p>
      <w:pPr>
        <w:pStyle w:val="BodyText"/>
      </w:pPr>
      <w:r>
        <w:rPr>
          <w:b/>
        </w:rPr>
        <w:t xml:space="preserve">Gebruik en grens. </w:t>
      </w:r>
      <w:r>
        <w:t>Temperatuur, neerslag, wind, zon en luchtdruk kunnen als covariaten worden gebruikt. Alleen de genormaliseerde analyseview is geldig. De huidige reeks eindigt met het volledige kalenderjaar 2025.</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bookmarkEnd w:id="46"/>
    <w:bookmarkStart w:id="47" w:name="stikstofdepositie"/>
    <w:p>
      <w:pPr>
        <w:pStyle w:val="BodyText"/>
      </w:pPr>
      <w:r>
        <w:rPr>
          <w:b/>
        </w:rPr>
        <w:t xml:space="preserve">Gebruik en grens. </w:t>
      </w:r>
      <w:r>
        <w:t>De huidige tabel beschrijft maaiveldhoogte en hoogtevariatie per plot. Eén peiljaar geeft geen ontwikkeling door de tijd en een DTM meet geen vegetatiehoogte.</w:t>
      </w:r>
    </w:p>
    <w:p>
      <w:pPr>
        <w:pStyle w:val="BodyText"/>
      </w:pPr>
      <w:r>
        <w:t>Voor de vogel–vegetatieanalyse is daarnaast een reproduceerbare proxy uit AHN3 en AHN4 afgeleid. Deze analyse-uitvoer bevat 110 regels: 55 plots voor 2014 en 55 voor 2020, telkens DSM minus DTM op twee meter resolutie. Bij 100 regels volgt de inwinningsdatum uit vlakoverlap met de officiële vlieglijnen; bij tien uit de dichtstbijzijnde vlieglijn, op maximaal 254 meter. Vastgelegd zijn hoogteverdeling, aandelen open terrein, lage vegetatie, struweel en bomen en randlengte per hectare. Pixels boven 45 meter zijn als niet-vegetatieve uitbijter uitgesloten. De afgeleide waarden staan met manifest en controlesom onder analyses/broedvogel_vegetatie_power/resultaten/ en zijn niet als primaire bronmeting in de levende database opgenomen. Twee cycli tonen verschil, maar zijn zonder derde onafhankelijke meting onvoldoende om een vogelreactie op structuurverandering op een later moment te valideren.</w:t>
      </w:r>
    </w:p>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rPr>
        <w:t xml:space="preserve">Remote sensing van vegetatiehoogte en -bedekking: </w:t>
      </w:r>
      <w:r>
        <w:t>WUR beschreef kaarten voor 2008 en 2014; TU Delft beschreef elf beeldmomenten uit 2019–2021. De afgeleide onderzoeksrasters zijn nog niet als openbare dataset gevonden en blijven kandidaatbron. De landelijke DTM- en DSM-bronnen uit de AHN-dataroom zijn inmiddels wel gebruikt om de onder 1.8.2 beschreven proxy voor 2014 en 2020 af te leiden en lokaal te controleren. De onderzoeksrasters en de AHN-proxy zijn dus niet dezelfde bron.</w:t>
      </w:r>
    </w:p>
    <w:p>
      <w:pPr>
        <w:pStyle w:val="BodyText"/>
      </w:pPr>
      <w:r>
        <w:rPr>
          <w:b/>
        </w:rPr>
        <w:t>Landbedekking in vogelplots:</w:t>
      </w:r>
      <w:r>
        <w:t xml:space="preserve"> de openbare studie van Schmidt-Tauscher, Häger en Van der Hagen uit 2025 behandelt 25 BMP-plots met samen 925 hectare. Het openbare supplement bevat de volledige tabel met de oppervlakte van zeven landbedekkingsklassen per plot in 2001 en 2022: struweel, bos, boomgroepen, lage vegetatie, riet, kaal zand en water. De classificatie is afgeleid uit luchtfoto's, teruggebracht tot pixels van 5 bij 5 meter en had een totale nauwkeurigheid van 81% in 2001 en 82% in 2022. De bron-Excel is op 11 oktober 2026 reproduceerbaar in de lokale broedvogel–vegetatieanalyse gebruikt en met SHA256 in het uitvoermanifest vastgelegd; zij is niet als nieuwe brontabel in de levende database geïmporteerd. M17 heeft in de actuele vogelmatrix geen territoriumplotjaar en valt uit de modellen. De overige vogelgroepen gebruiken 22–24 plots. Bij M71 is in beide jaren 47,89 van 48,46 hectare geclassificeerd; de ontbrekende 0,57 hectare blijft zichtbaar en de klasseaandelen zijn alleen over het geclassificeerde deel berekend.</w:t>
      </w:r>
    </w:p>
    <w:p>
      <w:pPr>
        <w:pStyle w:val="BodyText"/>
      </w:pPr>
      <w:r>
        <w:t>De plot-tabel voegt een ecologisch specifiekere verklarende laag toe dan de CBS-landgebruikgegevens voor 55 plots in 1996, 2010, 2015, 2017 en 2022. Wateroppervlak leverde in alle vijf ruimtelijke validatieblokken een betere logscore voor watervogels. Voor de overige vogelgroepen waren de scores gemengd of te veel modellen numeriek ongeldig; van de 36 landbedekkingsvalidaties slaagden er 18. De geclassificeerde rasters zelf zitten niet in het openbare supplement; de auteurs vermelden dat de gebruikte en gemaakte datasets op verzoek verkrijgbaar zijn. Met die rasters zouden ook ruimtelijke samenhang, versnippering, randen en vegetatiemozaïek kunnen worden onderzocht. Het blijven twee momentopnamen binnen 25 plots; zij meten geen jaarlijkse ontwikkeling, vegetatiehoogte,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2026-10-07T18:23:27Z</dcterms:created>
  <dcterms:modified xsi:type="dcterms:W3CDTF">2026-10-07T18:23:27Z</dcterms:modified>
</cp:coreProperties>
</file>

<file path=docProps/custom.xml><?xml version="1.0" encoding="utf-8"?>
<Properties xmlns="http://schemas.openxmlformats.org/officeDocument/2006/custom-properties" xmlns:vt="http://schemas.openxmlformats.org/officeDocument/2006/docPropsVTypes"/>
</file>