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rPr>
          <w:color w:val="000000"/>
          <w:u w:val="none"/>
        </w:rPr>
        <w:t xml:space="preserve">Bronregister ecologische gegevens Meijendel</w:t>
      </w:r>
    </w:p>
    <w:p>
      <w:pPr>
        <w:pStyle w:val="FirstParagraph"/>
      </w:pPr>
      <w:r>
        <w:rPr>
          <w:b/>
          <w:bCs/>
        </w:rPr>
        <w:t>Stand: 1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rPr>
          <w:color w:val="000000"/>
          <w:u w:val="none"/>
        </w:rP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rPr>
          <w:color w:val="000000"/>
          <w:u w:val="none"/>
        </w:rP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rPr>
          <w:color w:val="000000"/>
          <w:u w:val="none"/>
        </w:rP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rPr>
          <w:color w:val="000000"/>
          <w:u w:val="none"/>
        </w:rPr>
        <w:t xml:space="preserve">1. Bronnen in MySQL-database</w:t>
      </w:r>
      <w:r>
        <w:rPr>
          <w:color w:val="000000"/>
          <w:u w:val="none"/>
        </w:rPr>
        <w:t xml:space="preserve"> </w:t>
      </w:r>
      <w:r>
        <w:rPr>
          <w:rStyle w:val="VerbatimChar"/>
          <w:color w:val="000000"/>
          <w:u w:val="none"/>
        </w:rPr>
        <w:t xml:space="preserve">Meijendel</w:t>
      </w:r>
    </w:p>
    <w:bookmarkStart w:id="12" w:name="Xccd8cb4345e3f59364194a2576f706cc2c0a66e"/>
    <w:p>
      <w:pPr>
        <w:pStyle w:val="Heading3"/>
      </w:pPr>
      <w:r>
        <w:rPr>
          <w:color w:val="000000"/>
          <w:u w:val="none"/>
        </w:rP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rPr>
        <w:t>Telleridentificatie, 1 oktober 2026.</w:t>
      </w:r>
      <w:r>
        <w:t xml:space="preserve"> Voor telleridentificatie is plot_jaar_teller in de levende lokale database de leidende projectregistratie. Een vergelijking met waarnemer 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ontbreekt plot_jaar_teller. Inhoudelijke controle door de data-eigenaar toont concrete AVIMAP-toeschrijvingen aan kavels die de genoemde waarnemer niet heeft geteld. Het AVIMAP-veld wordt daarom niet gebruikt om plot_jaar_teller 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 plot_jaar_teller en houden tellerteams en ontbrekende koppelingen afzonderlijk herkenbaar.</w:t>
      </w:r>
    </w:p>
    <w:p>
      <w:pPr>
        <w:pStyle w:val="BodyText"/>
      </w:pPr>
      <w:r>
        <w:rPr>
          <w:b/>
        </w:rPr>
        <w:t>Goedkeuringsstatus territoria, 1 oktober 2026.</w:t>
      </w:r>
      <w:r>
        <w:t xml:space="preserve"> De tabel territoria bevat uitsluitend formele territoria uit goedgekeurde tellingen. De aanwezigheid van een territoriumregel voor een plot en jaar betekent daarom dat deze uit een goedgekeurde telling komt. dagbezoeken_bmp en dagwaarnemingen_bmp kunnen daarnaast gegevens uit niet-goedgekeurde tellingen bevatten; hun aanwezigheid bewijst niet dat het plotjaar als territoriumtelling is toegelaten. Het ontbreken van een territoriumregel bewijst omgekeerd niet zonder meer dat een telling is afgekeurd, omdat een goedgekeurd plotjaar voor een afzonderlijke soort nul territoria kan hebben. Analyses van territoria, trends en tellersensitiviteit gebruiken uitsluitend de goedgekeurde territoriumuitkomsten en de bijbehorende plot_jaar_teller-registraties.</w:t>
      </w:r>
    </w:p>
    <w:bookmarkEnd w:id="12"/>
    <w:bookmarkStart w:id="13" w:name="provinciale-permanente-kwadraten"/>
    <w:p>
      <w:pPr>
        <w:pStyle w:val="Heading3"/>
      </w:pPr>
      <w:r>
        <w:rPr>
          <w:color w:val="000000"/>
          <w:u w:val="none"/>
        </w:rP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rPr>
          <w:color w:val="000000"/>
          <w:u w:val="none"/>
        </w:rP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rPr>
          <w:color w:val="000000"/>
          <w:u w:val="none"/>
        </w:rP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rPr>
          <w:color w:val="000000"/>
          <w:u w:val="none"/>
        </w:rP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rPr>
          <w:color w:val="000000"/>
          <w:u w:val="none"/>
        </w:rP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rPr>
          <w:color w:val="000000"/>
          <w:u w:val="none"/>
        </w:rP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rPr>
          <w:color w:val="000000"/>
          <w:u w:val="none"/>
        </w:rP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rPr>
          <w:color w:val="000000"/>
          <w:u w:val="none"/>
        </w:rP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rPr>
          <w:color w:val="000000"/>
          <w:u w:val="none"/>
        </w:rP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rPr>
          <w:color w:val="000000"/>
          <w:u w:val="none"/>
        </w:rP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rPr>
          <w:color w:val="000000"/>
          <w:u w:val="none"/>
        </w:rP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rPr>
          <w:color w:val="000000"/>
          <w:u w:val="none"/>
        </w:rP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rPr>
          <w:color w:val="000000"/>
          <w:u w:val="none"/>
        </w:rP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rPr>
          <w:color w:val="000000"/>
          <w:u w:val="none"/>
        </w:rP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rPr>
          <w:color w:val="000000"/>
          <w:u w:val="none"/>
        </w:rP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rPr>
          <w:color w:val="000000"/>
          <w:u w:val="none"/>
        </w:rP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rPr>
          <w:color w:val="000000"/>
          <w:u w:val="none"/>
        </w:rP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rPr>
          <w:color w:val="000000"/>
          <w:u w:val="none"/>
        </w:rP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rPr>
          <w:color w:val="000000"/>
          <w:u w:val="none"/>
        </w:rP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rPr>
          <w:color w:val="000000"/>
          <w:u w:val="none"/>
        </w:rP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rPr>
          <w:color w:val="000000"/>
          <w:u w:val="none"/>
        </w:rP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rPr>
          <w:color w:val="000000"/>
          <w:u w:val="none"/>
        </w:rP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als indeling bereikbaar. De bestaande analyse-ingang levert dezelfde uitkomsten. De overige 2.793 LVD-opnamen met 64.683 resultaten uit 1959–2015 staan onder</w:t>
      </w:r>
      <w:r>
        <w:t xml:space="preserve"> </w:t>
      </w:r>
      <w:r>
        <w:rPr>
          <w:rStyle w:val="VerbatimChar"/>
        </w:rPr>
        <w:t>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rPr>
          <w:color w:val="000000"/>
          <w:u w:val="none"/>
        </w:rP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rPr>
          <w:color w:val="000000"/>
          <w:u w:val="none"/>
        </w:rP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rPr>
          <w:color w:val="000000"/>
          <w:u w:val="none"/>
        </w:rP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rPr>
          <w:color w:val="000000"/>
          <w:u w:val="none"/>
        </w:rP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rPr>
          <w:color w:val="000000"/>
          <w:u w:val="none"/>
        </w:rP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rPr>
          <w:color w:val="000000"/>
          <w:u w:val="none"/>
        </w:rP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rPr>
          <w:color w:val="000000"/>
          <w:u w:val="none"/>
        </w:rP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rPr>
          <w:color w:val="000000"/>
          <w:u w:val="none"/>
        </w:rP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rPr>
          <w:color w:val="000000"/>
          <w:u w:val="none"/>
        </w:rP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rPr>
          <w:color w:val="000000"/>
          <w:u w:val="none"/>
        </w:rP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rPr>
          <w:color w:val="000000"/>
          <w:u w:val="none"/>
        </w:rP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rPr>
          <w:color w:val="000000"/>
          <w:u w:val="none"/>
        </w:rP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rPr>
          <w:color w:val="000000"/>
          <w:u w:val="none"/>
        </w:rP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rPr>
          <w:color w:val="000000"/>
          <w:u w:val="none"/>
        </w:rPr>
        <w:t xml:space="preserve">2. Bronnen in MySQL-database</w:t>
      </w:r>
      <w:r>
        <w:rPr>
          <w:color w:val="000000"/>
          <w:u w:val="none"/>
        </w:rPr>
        <w:t xml:space="preserve"> </w:t>
      </w:r>
      <w:r>
        <w:rPr>
          <w:rStyle w:val="VerbatimChar"/>
          <w:color w:val="000000"/>
          <w:u w:val="none"/>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rPr>
          <w:color w:val="000000"/>
          <w:u w:val="none"/>
        </w:rP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rPr>
          <w:color w:val="000000"/>
          <w:u w:val="none"/>
        </w:rP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rPr>
          <w:color w:val="000000"/>
          <w:u w:val="none"/>
        </w:rP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rPr>
          <w:color w:val="000000"/>
          <w:u w:val="none"/>
        </w:rP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rPr>
          <w:color w:val="000000"/>
          <w:u w:val="none"/>
        </w:rP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rPr>
          <w:color w:val="000000"/>
          <w:u w:val="none"/>
        </w:rP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rPr>
          <w:color w:val="000000"/>
          <w:u w:val="none"/>
        </w:rP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rPr>
          <w:color w:val="000000"/>
          <w:u w:val="none"/>
        </w:rPr>
        <w:t xml:space="preserve">Kandidaten met de grootste verwachte aanvulling</w:t>
      </w:r>
    </w:p>
    <w:bookmarkStart w:id="60" w:name="historische-en-actuele-ringgegevens"/>
    <w:p>
      <w:pPr>
        <w:pStyle w:val="Heading4"/>
      </w:pPr>
      <w:r>
        <w:rPr>
          <w:color w:val="000000"/>
          <w:u w:val="none"/>
        </w:rP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rPr>
          <w:color w:val="000000"/>
          <w:u w:val="none"/>
        </w:rP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rPr>
          <w:color w:val="000000"/>
          <w:u w:val="none"/>
        </w:rP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rPr>
          <w:color w:val="000000"/>
          <w:u w:val="none"/>
        </w:rPr>
        <w:t xml:space="preserve">3.4.</w:t>
      </w:r>
      <w:r>
        <w:rPr>
          <w:color w:val="000000"/>
          <w:u w:val="none"/>
        </w:rP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rPr>
          <w:color w:val="000000"/>
          <w:u w:val="none"/>
        </w:rPr>
        <w:t xml:space="preserve">3.5.</w:t>
      </w:r>
      <w:r>
        <w:rPr>
          <w:color w:val="000000"/>
          <w:u w:val="none"/>
        </w:rP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rPr>
          <w:color w:val="000000"/>
          <w:u w:val="none"/>
        </w:rP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rPr>
          <w:color w:val="000000"/>
          <w:u w:val="none"/>
        </w:rP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rPr>
          <w:color w:val="000000"/>
          <w:u w:val="none"/>
        </w:rP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rPr>
          <w:color w:val="000000"/>
          <w:u w:val="none"/>
        </w:rP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rPr>
          <w:color w:val="000000"/>
          <w:u w:val="none"/>
        </w:rP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rPr>
          <w:color w:val="000000"/>
          <w:u w:val="none"/>
        </w:rP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rPr>
          <w:color w:val="000000"/>
          <w:u w:val="none"/>
        </w:rP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rPr>
          <w:color w:val="000000"/>
          <w:u w:val="none"/>
        </w:rP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rPr>
          <w:color w:val="000000"/>
          <w:u w:val="none"/>
        </w:rP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rPr>
          <w:color w:val="000000"/>
          <w:u w:val="none"/>
        </w:rP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rPr>
          <w:color w:val="000000"/>
          <w:u w:val="none"/>
        </w:rP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rPr>
          <w:color w:val="000000"/>
          <w:u w:val="none"/>
        </w:rP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rPr>
          <w:color w:val="000000"/>
          <w:u w:val="none"/>
        </w:rP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rPr>
          <w:color w:val="000000"/>
          <w:u w:val="none"/>
        </w:rP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rPr>
          <w:color w:val="000000"/>
          <w:u w:val="none"/>
        </w:rP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rPr>
          <w:color w:val="000000"/>
          <w:u w:val="none"/>
        </w:rP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2026-09-29T17:21:39Z</dcterms:created>
  <dcterms:modified xsi:type="dcterms:W3CDTF">2026-09-29T17:21:39Z</dcterms:modified>
</cp:coreProperties>
</file>

<file path=docProps/custom.xml><?xml version="1.0" encoding="utf-8"?>
<Properties xmlns="http://schemas.openxmlformats.org/officeDocument/2006/custom-properties" xmlns:vt="http://schemas.openxmlformats.org/officeDocument/2006/docPropsVTypes"/>
</file>