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160"/>
      </w:pPr>
      <w:r>
        <w:rPr>
          <w:rFonts w:ascii="Calibri" w:hAnsi="Calibri"/>
          <w:b/>
          <w:color w:val="A17727"/>
          <w:sz w:val="19"/>
        </w:rPr>
        <w:t>PUBLIEKSARTIKEL  /  CONCEPT</w:t>
      </w:r>
    </w:p>
    <w:p>
      <w:pPr>
        <w:spacing w:after="160"/>
        <w:jc w:val="left"/>
        <w:widowControl/>
        <w:keepLines/>
        <w:keepNext/>
      </w:pPr>
      <w:r>
        <w:rPr>
          <w:rFonts w:ascii="Calibri" w:hAnsi="Calibri"/>
          <w:b/>
          <w:color w:val="203748"/>
          <w:sz w:val="54"/>
        </w:rPr>
        <w:t>Vijfentwintig winters vogels tellen</w:t>
        <w:br/>
        <w:t>in Meijendel</w:t>
      </w:r>
    </w:p>
    <w:p>
      <w:pPr>
        <w:spacing w:after="480"/>
        <w:widowControl/>
        <w:keepLines/>
        <w:keepNext/>
      </w:pPr>
      <w:r>
        <w:rPr>
          <w:rFonts w:ascii="Calibri" w:hAnsi="Calibri"/>
          <w:color w:val="2A6970"/>
          <w:sz w:val="30"/>
        </w:rPr>
        <w:t>Niet één wintervogelverhaal, maar vele verschillende veranderingen</w:t>
      </w:r>
    </w:p>
    <w:p>
      <w:pPr>
        <w:pStyle w:val="ArticleLead"/>
        <w:widowControl/>
        <w:keepLines/>
      </w:pPr>
      <w:r>
        <w:rPr>
          <w:rFonts w:ascii="Calibri" w:hAnsi="Calibri"/>
          <w:b w:val="0"/>
          <w:sz w:val="22"/>
        </w:rPr>
        <w:t>Sinds de winter van 2000/01 tellen leden van Vogelwerkgroep Meijendel iedere maand de vogels in vaste kavels. Van september tot en met maart lopen zij steeds dezelfde gebieden af en noteren zij alle waargenomen vogels. Inmiddels omvat de gecontroleerde reeks 25 winters.</w:t>
      </w:r>
    </w:p>
    <w:p>
      <w:pPr>
        <w:widowControl/>
        <w:keepLines/>
      </w:pPr>
      <w:r>
        <w:rPr>
          <w:rFonts w:ascii="Calibri" w:hAnsi="Calibri"/>
          <w:b w:val="0"/>
          <w:sz w:val="22"/>
        </w:rPr>
        <w:t>Die lange reeks laat vooral zien dat de wintervogelbevolking niet als één geheel beweegt. Sommige soorten worden duidelijk vaker of in grotere aantallen geregistreerd, andere juist minder. Bij weer andere soorten is geen overtuigende richting zichtbaar. Achter een ogenschijnlijk rustig winterlandschap gaan dus grote verschillen schuil.</w:t>
      </w:r>
    </w:p>
    <w:p>
      <w:pPr>
        <w:widowControl/>
        <w:keepLines/>
      </w:pPr>
      <w:r>
        <w:rPr>
          <w:rFonts w:ascii="Calibri" w:hAnsi="Calibri"/>
          <w:b w:val="0"/>
          <w:sz w:val="22"/>
        </w:rPr>
        <w:t>Van de 17 soorten met een betrouwbare winterindex namen er zeven duidelijk toe en vijf duidelijk af. Bij de overige vijf was geen overtuigende richting zichtbaar. Juist die verdeling maakt aanschouwelijk dat er niet zoiets bestaat als dé ontwikkeling van de wintervogels in Meijendel.</w:t>
      </w:r>
    </w:p>
    <w:p>
      <w:pPr>
        <w:widowControl/>
        <w:keepLines/>
      </w:pPr>
      <w:r>
        <w:rPr>
          <w:rFonts w:ascii="Calibri" w:hAnsi="Calibri"/>
          <w:b w:val="0"/>
          <w:sz w:val="22"/>
        </w:rPr>
        <w:t>De gemiddelde verandering per jaar, afgerond op één decimaal, geeft het volgende overzicht:</w:t>
      </w:r>
    </w:p>
    <w:p>
      <w:pPr>
        <w:pStyle w:val="ListBullet"/>
        <w:widowControl/>
        <w:keepLines/>
      </w:pPr>
      <w:r>
        <w:rPr>
          <w:rFonts w:ascii="Calibri" w:hAnsi="Calibri"/>
          <w:b w:val="0"/>
          <w:sz w:val="22"/>
        </w:rPr>
        <w:t xml:space="preserve"> duidelijke toename: Boomleeuwerik (+6,8 procent), Tjiftjaf (+3,7),</w:t>
      </w:r>
    </w:p>
    <w:p>
      <w:pPr>
        <w:widowControl/>
        <w:keepLines/>
      </w:pPr>
      <w:r>
        <w:rPr>
          <w:rFonts w:ascii="Calibri" w:hAnsi="Calibri"/>
          <w:b w:val="0"/>
          <w:sz w:val="22"/>
        </w:rPr>
        <w:t>Torenvalk (+3,4), Waterral (+2,7), Grote Bonte Specht (+2,6), Kuifeend (+2,3) en Winterkoning (+0,6);</w:t>
      </w:r>
    </w:p>
    <w:p>
      <w:pPr>
        <w:pStyle w:val="ListBullet"/>
        <w:widowControl/>
        <w:keepLines/>
      </w:pPr>
      <w:r>
        <w:rPr>
          <w:rFonts w:ascii="Calibri" w:hAnsi="Calibri"/>
          <w:b w:val="0"/>
          <w:sz w:val="22"/>
        </w:rPr>
        <w:t xml:space="preserve"> duidelijke afname: Zwarte Kraai (-6,4 procent), Sperwer (-4,7), Heggenmus</w:t>
      </w:r>
    </w:p>
    <w:p>
      <w:pPr>
        <w:widowControl/>
        <w:keepLines/>
      </w:pPr>
      <w:r>
        <w:rPr>
          <w:rFonts w:ascii="Calibri" w:hAnsi="Calibri"/>
          <w:b w:val="0"/>
          <w:sz w:val="22"/>
        </w:rPr>
        <w:t>(-2,8), Tafeleend (-1,8) en Gaai (-1,4);</w:t>
      </w:r>
    </w:p>
    <w:p>
      <w:pPr>
        <w:pStyle w:val="ListBullet"/>
        <w:widowControl/>
        <w:keepLines/>
      </w:pPr>
      <w:r>
        <w:rPr>
          <w:rFonts w:ascii="Calibri" w:hAnsi="Calibri"/>
          <w:b w:val="0"/>
          <w:sz w:val="22"/>
        </w:rPr>
        <w:t xml:space="preserve"> geen overtuigende richting: Keep, Kneu, Krakeend, Watersnip en Wilde Eend.</w:t>
      </w:r>
    </w:p>
    <w:p>
      <w:pPr>
        <w:pStyle w:val="Heading1"/>
        <w:widowControl/>
        <w:keepLines/>
        <w:keepNext/>
      </w:pPr>
      <w:r>
        <w:t>Soorten die vaker worden geregistreerd</w:t>
      </w:r>
    </w:p>
    <w:p>
      <w:pPr>
        <w:widowControl/>
        <w:keepLines/>
      </w:pPr>
      <w:r>
        <w:rPr>
          <w:rFonts w:ascii="Calibri" w:hAnsi="Calibri"/>
          <w:b w:val="0"/>
          <w:sz w:val="22"/>
        </w:rPr>
        <w:t xml:space="preserve">De </w:t>
      </w:r>
      <w:r>
        <w:rPr>
          <w:rFonts w:ascii="Calibri" w:hAnsi="Calibri"/>
          <w:b/>
          <w:sz w:val="22"/>
        </w:rPr>
        <w:t>Boomleeuwerik</w:t>
      </w:r>
      <w:r>
        <w:rPr>
          <w:rFonts w:ascii="Calibri" w:hAnsi="Calibri"/>
          <w:b w:val="0"/>
          <w:sz w:val="22"/>
        </w:rPr>
        <w:t xml:space="preserve"> laat de sterkste betrouwbare toename zien. Het geregistreerde aantal per volledig bezoek nam over de hele periode gemiddeld met ongeveer 6,8 procent per jaar toe. De soort is daarmee in de winter veel nadrukkelijker aanwezig dan aan het begin van deze eeuw.</w:t>
      </w:r>
    </w:p>
    <w:p>
      <w:pPr>
        <w:widowControl/>
        <w:keepLines/>
      </w:pPr>
      <w:r>
        <w:rPr>
          <w:rFonts w:ascii="Calibri" w:hAnsi="Calibri"/>
          <w:b w:val="0"/>
          <w:sz w:val="22"/>
        </w:rPr>
        <w:t xml:space="preserve">Ook de </w:t>
      </w:r>
      <w:r>
        <w:rPr>
          <w:rFonts w:ascii="Calibri" w:hAnsi="Calibri"/>
          <w:b/>
          <w:sz w:val="22"/>
        </w:rPr>
        <w:t>Tjiftjaf</w:t>
      </w:r>
      <w:r>
        <w:rPr>
          <w:rFonts w:ascii="Calibri" w:hAnsi="Calibri"/>
          <w:b w:val="0"/>
          <w:sz w:val="22"/>
        </w:rPr>
        <w:t xml:space="preserve"> nam duidelijk toe, gemiddeld met circa 3,7 procent per jaar. Tegelijk laat het maandpatroon zien dat de meeste waarnemingen in september en maart vallen. De tellingen brengen hier dus niet alleen overwinterende vogels in beeld, maar ook het gebruik van Meijendel aan de randen van de winter.</w:t>
      </w:r>
    </w:p>
    <w:p>
      <w:pPr>
        <w:widowControl/>
        <w:keepLines/>
      </w:pPr>
      <w:r>
        <w:rPr>
          <w:rFonts w:ascii="Calibri" w:hAnsi="Calibri"/>
          <w:b w:val="0"/>
          <w:sz w:val="22"/>
        </w:rPr>
        <w:t xml:space="preserve">Andere betrouwbare toenames zijn zichtbaar bij onder meer </w:t>
      </w:r>
      <w:r>
        <w:rPr>
          <w:rFonts w:ascii="Calibri" w:hAnsi="Calibri"/>
          <w:b/>
          <w:sz w:val="22"/>
        </w:rPr>
        <w:t>Torenvalk</w:t>
      </w:r>
      <w:r>
        <w:rPr>
          <w:rFonts w:ascii="Calibri" w:hAnsi="Calibri"/>
          <w:b w:val="0"/>
          <w:sz w:val="22"/>
        </w:rPr>
        <w:t xml:space="preserve">, </w:t>
      </w:r>
      <w:r>
        <w:rPr>
          <w:rFonts w:ascii="Calibri" w:hAnsi="Calibri"/>
          <w:b/>
          <w:sz w:val="22"/>
        </w:rPr>
        <w:t>Grote Bonte Specht</w:t>
      </w:r>
      <w:r>
        <w:rPr>
          <w:rFonts w:ascii="Calibri" w:hAnsi="Calibri"/>
          <w:b w:val="0"/>
          <w:sz w:val="22"/>
        </w:rPr>
        <w:t xml:space="preserve">, </w:t>
      </w:r>
      <w:r>
        <w:rPr>
          <w:rFonts w:ascii="Calibri" w:hAnsi="Calibri"/>
          <w:b/>
          <w:sz w:val="22"/>
        </w:rPr>
        <w:t>Kuifeend</w:t>
      </w:r>
      <w:r>
        <w:rPr>
          <w:rFonts w:ascii="Calibri" w:hAnsi="Calibri"/>
          <w:b w:val="0"/>
          <w:sz w:val="22"/>
        </w:rPr>
        <w:t xml:space="preserve">, </w:t>
      </w:r>
      <w:r>
        <w:rPr>
          <w:rFonts w:ascii="Calibri" w:hAnsi="Calibri"/>
          <w:b/>
          <w:sz w:val="22"/>
        </w:rPr>
        <w:t>Waterral</w:t>
      </w:r>
      <w:r>
        <w:rPr>
          <w:rFonts w:ascii="Calibri" w:hAnsi="Calibri"/>
          <w:b w:val="0"/>
          <w:sz w:val="22"/>
        </w:rPr>
        <w:t xml:space="preserve"> en </w:t>
      </w:r>
      <w:r>
        <w:rPr>
          <w:rFonts w:ascii="Calibri" w:hAnsi="Calibri"/>
          <w:b/>
          <w:sz w:val="22"/>
        </w:rPr>
        <w:t>Winterkoning</w:t>
      </w:r>
      <w:r>
        <w:rPr>
          <w:rFonts w:ascii="Calibri" w:hAnsi="Calibri"/>
          <w:b w:val="0"/>
          <w:sz w:val="22"/>
        </w:rPr>
        <w:t>. Dat zijn heel verschillende vogels, van duin- en struweelsoorten tot roofvogels en watervogels. Er is daarom niet één eenvoudige verklaring die voor al deze ontwikkelingen opgaat.</w:t>
      </w:r>
    </w:p>
    <w:p>
      <w:pPr>
        <w:pStyle w:val="Heading1"/>
        <w:widowControl/>
        <w:keepLines/>
        <w:keepNext/>
      </w:pPr>
      <w:r>
        <w:t>Soorten die terrein verliezen</w:t>
      </w:r>
    </w:p>
    <w:p>
      <w:pPr>
        <w:widowControl/>
        <w:keepLines/>
      </w:pPr>
      <w:r>
        <w:rPr>
          <w:rFonts w:ascii="Calibri" w:hAnsi="Calibri"/>
          <w:b w:val="0"/>
          <w:sz w:val="22"/>
        </w:rPr>
        <w:t xml:space="preserve">Tegenover de toenames staan duidelijke afnames. Bij de </w:t>
      </w:r>
      <w:r>
        <w:rPr>
          <w:rFonts w:ascii="Calibri" w:hAnsi="Calibri"/>
          <w:b/>
          <w:sz w:val="22"/>
        </w:rPr>
        <w:t>Zwarte Kraai</w:t>
      </w:r>
      <w:r>
        <w:rPr>
          <w:rFonts w:ascii="Calibri" w:hAnsi="Calibri"/>
          <w:b w:val="0"/>
          <w:sz w:val="22"/>
        </w:rPr>
        <w:t xml:space="preserve"> daalde het geregistreerde aantal per volledig bezoek gemiddeld met ongeveer 6,4 procent per jaar. Ook de </w:t>
      </w:r>
      <w:r>
        <w:rPr>
          <w:rFonts w:ascii="Calibri" w:hAnsi="Calibri"/>
          <w:b/>
          <w:sz w:val="22"/>
        </w:rPr>
        <w:t>Sperwer</w:t>
      </w:r>
      <w:r>
        <w:rPr>
          <w:rFonts w:ascii="Calibri" w:hAnsi="Calibri"/>
          <w:b w:val="0"/>
          <w:sz w:val="22"/>
        </w:rPr>
        <w:t xml:space="preserve"> nam sterk af, met gemiddeld circa 4,7 procent per jaar.</w:t>
      </w:r>
    </w:p>
    <w:p>
      <w:pPr>
        <w:widowControl/>
        <w:keepLines/>
      </w:pPr>
      <w:r>
        <w:rPr>
          <w:rFonts w:ascii="Calibri" w:hAnsi="Calibri"/>
          <w:b w:val="0"/>
          <w:sz w:val="22"/>
        </w:rPr>
        <w:t xml:space="preserve">De tellingen wijzen daarnaast op betrouwbare afnames bij </w:t>
      </w:r>
      <w:r>
        <w:rPr>
          <w:rFonts w:ascii="Calibri" w:hAnsi="Calibri"/>
          <w:b/>
          <w:sz w:val="22"/>
        </w:rPr>
        <w:t>Heggenmus</w:t>
      </w:r>
      <w:r>
        <w:rPr>
          <w:rFonts w:ascii="Calibri" w:hAnsi="Calibri"/>
          <w:b w:val="0"/>
          <w:sz w:val="22"/>
        </w:rPr>
        <w:t xml:space="preserve">, </w:t>
      </w:r>
      <w:r>
        <w:rPr>
          <w:rFonts w:ascii="Calibri" w:hAnsi="Calibri"/>
          <w:b/>
          <w:sz w:val="22"/>
        </w:rPr>
        <w:t>Tafeleend</w:t>
      </w:r>
      <w:r>
        <w:rPr>
          <w:rFonts w:ascii="Calibri" w:hAnsi="Calibri"/>
          <w:b w:val="0"/>
          <w:sz w:val="22"/>
        </w:rPr>
        <w:t xml:space="preserve"> en </w:t>
      </w:r>
      <w:r>
        <w:rPr>
          <w:rFonts w:ascii="Calibri" w:hAnsi="Calibri"/>
          <w:b/>
          <w:sz w:val="22"/>
        </w:rPr>
        <w:t>Gaai</w:t>
      </w:r>
      <w:r>
        <w:rPr>
          <w:rFonts w:ascii="Calibri" w:hAnsi="Calibri"/>
          <w:b w:val="0"/>
          <w:sz w:val="22"/>
        </w:rPr>
        <w:t>. Deze soorten gebruiken verschillende delen van Meijendel en verschillen sterk in leefwijze. De uitkomsten zeggen daarom in de eerste plaats dát hun geregistreerde voorkomen veranderde. Ze bewijzen niet waardoor dat gebeurde.</w:t>
      </w:r>
    </w:p>
    <w:p>
      <w:pPr>
        <w:pStyle w:val="Heading1"/>
        <w:widowControl/>
        <w:keepLines/>
        <w:keepNext/>
      </w:pPr>
      <w:r>
        <w:t>Niet iedere lijn is een stijging of daling</w:t>
      </w:r>
    </w:p>
    <w:p>
      <w:pPr>
        <w:widowControl/>
        <w:keepLines/>
      </w:pPr>
      <w:r>
        <w:rPr>
          <w:rFonts w:ascii="Calibri" w:hAnsi="Calibri"/>
          <w:b w:val="0"/>
          <w:sz w:val="22"/>
        </w:rPr>
        <w:t xml:space="preserve">Een goed bruikbare telling levert niet automatisch een duidelijke trend op. Bij onder meer </w:t>
      </w:r>
      <w:r>
        <w:rPr>
          <w:rFonts w:ascii="Calibri" w:hAnsi="Calibri"/>
          <w:b/>
          <w:sz w:val="22"/>
        </w:rPr>
        <w:t>Keep</w:t>
      </w:r>
      <w:r>
        <w:rPr>
          <w:rFonts w:ascii="Calibri" w:hAnsi="Calibri"/>
          <w:b w:val="0"/>
          <w:sz w:val="22"/>
        </w:rPr>
        <w:t xml:space="preserve">, </w:t>
      </w:r>
      <w:r>
        <w:rPr>
          <w:rFonts w:ascii="Calibri" w:hAnsi="Calibri"/>
          <w:b/>
          <w:sz w:val="22"/>
        </w:rPr>
        <w:t>Kneu</w:t>
      </w:r>
      <w:r>
        <w:rPr>
          <w:rFonts w:ascii="Calibri" w:hAnsi="Calibri"/>
          <w:b w:val="0"/>
          <w:sz w:val="22"/>
        </w:rPr>
        <w:t xml:space="preserve">, </w:t>
      </w:r>
      <w:r>
        <w:rPr>
          <w:rFonts w:ascii="Calibri" w:hAnsi="Calibri"/>
          <w:b/>
          <w:sz w:val="22"/>
        </w:rPr>
        <w:t>Krakeend</w:t>
      </w:r>
      <w:r>
        <w:rPr>
          <w:rFonts w:ascii="Calibri" w:hAnsi="Calibri"/>
          <w:b w:val="0"/>
          <w:sz w:val="22"/>
        </w:rPr>
        <w:t xml:space="preserve">, </w:t>
      </w:r>
      <w:r>
        <w:rPr>
          <w:rFonts w:ascii="Calibri" w:hAnsi="Calibri"/>
          <w:b/>
          <w:sz w:val="22"/>
        </w:rPr>
        <w:t>Watersnip</w:t>
      </w:r>
      <w:r>
        <w:rPr>
          <w:rFonts w:ascii="Calibri" w:hAnsi="Calibri"/>
          <w:b w:val="0"/>
          <w:sz w:val="22"/>
        </w:rPr>
        <w:t xml:space="preserve"> en </w:t>
      </w:r>
      <w:r>
        <w:rPr>
          <w:rFonts w:ascii="Calibri" w:hAnsi="Calibri"/>
          <w:b/>
          <w:sz w:val="22"/>
        </w:rPr>
        <w:t>Wilde Eend</w:t>
      </w:r>
      <w:r>
        <w:rPr>
          <w:rFonts w:ascii="Calibri" w:hAnsi="Calibri"/>
          <w:b w:val="0"/>
          <w:sz w:val="22"/>
        </w:rPr>
        <w:t xml:space="preserve"> is de richting van de aantalsontwikkeling onzeker. De uitkomsten passen zowel bij een beperkte verandering als bij een min of meer stabiele ontwikkeling.</w:t>
      </w:r>
    </w:p>
    <w:p>
      <w:pPr>
        <w:widowControl/>
        <w:keepLines/>
      </w:pPr>
      <w:r>
        <w:rPr>
          <w:rFonts w:ascii="Calibri" w:hAnsi="Calibri"/>
          <w:b w:val="0"/>
          <w:sz w:val="22"/>
        </w:rPr>
        <w:t>Dat onderscheid is belangrijk. Een onzekere richting is geen mislukte telling, maar een eerlijke uitkomst: de beschikbare gegevens geven voor die soort nog geen overtuigend bewijs van een toe- of afname.</w:t>
      </w:r>
    </w:p>
    <w:p>
      <w:pPr>
        <w:pStyle w:val="Heading1"/>
        <w:widowControl/>
        <w:keepLines/>
        <w:keepNext/>
      </w:pPr>
      <w:r>
        <w:t>Verandert ook het ritme binnen de winter?</w:t>
      </w:r>
    </w:p>
    <w:p>
      <w:pPr>
        <w:widowControl/>
        <w:keepLines/>
      </w:pPr>
      <w:r>
        <w:rPr>
          <w:rFonts w:ascii="Calibri" w:hAnsi="Calibri"/>
          <w:b w:val="0"/>
          <w:sz w:val="22"/>
        </w:rPr>
        <w:t>Een winter bestaat uit zeven telmaanden. De ene soort is gedurende het hele seizoen aanwezig, terwijl een andere vooral tijdens de najaarstrek, midden in de winter of op de terugweg wordt gezien. Achter één jaartrend kunnen daardoor verschillende veranderingen schuilgaan.</w:t>
      </w:r>
    </w:p>
    <w:p>
      <w:pPr>
        <w:widowControl/>
        <w:keepLines/>
      </w:pPr>
      <w:r>
        <w:rPr>
          <w:rFonts w:ascii="Calibri" w:hAnsi="Calibri"/>
          <w:b w:val="0"/>
          <w:sz w:val="22"/>
        </w:rPr>
        <w:t>Een aanvullende vergelijking van de maandpatronen door de jaren heen laat bij enkele soorten duidelijke verschuivingen zien. Daarbij is niet alleen naar het geregistreerde aantal gekeken, maar ook naar het aandeel volledige bezoeken waarop de soort is waargenomen. Een verandering die in beide maten zichtbaar blijft, is overtuigender dan een verandering in alleen de groepsgrootte.</w:t>
      </w:r>
    </w:p>
    <w:p>
      <w:pPr>
        <w:widowControl/>
        <w:keepLines/>
      </w:pPr>
      <w:r>
        <w:rPr>
          <w:rFonts w:ascii="Calibri" w:hAnsi="Calibri"/>
          <w:b w:val="0"/>
          <w:sz w:val="22"/>
        </w:rPr>
        <w:t xml:space="preserve">De opvallendste ontwikkeling is zichtbaar bij de </w:t>
      </w:r>
      <w:r>
        <w:rPr>
          <w:rFonts w:ascii="Calibri" w:hAnsi="Calibri"/>
          <w:b/>
          <w:sz w:val="22"/>
        </w:rPr>
        <w:t>Tjiftjaf</w:t>
      </w:r>
      <w:r>
        <w:rPr>
          <w:rFonts w:ascii="Calibri" w:hAnsi="Calibri"/>
          <w:b w:val="0"/>
          <w:sz w:val="22"/>
        </w:rPr>
        <w:t>. September en maart blijven de belangrijkste maanden, maar de toename beperkt zich niet meer tot de randen van de winter. Ook in november, december en januari wordt de soort geleidelijk vaker geregistreerd. Vooral maart is veel sterker geworden. Het seizoensbeeld is daarmee verbreed van voornamelijk doortrek naar ook meer aanwezigheid midden in de winter.</w:t>
      </w:r>
    </w:p>
    <w:p>
      <w:pPr>
        <w:widowControl/>
        <w:keepLines/>
      </w:pPr>
      <w:r>
        <w:rPr>
          <w:rFonts w:ascii="Calibri" w:hAnsi="Calibri"/>
          <w:b w:val="0"/>
          <w:sz w:val="22"/>
        </w:rPr>
        <w:t>Dat patroon past bij een gedeeltelijke trekker. Het kan wijzen op meer vogels die in of nabij Meijendel overwinteren, op later vertrek, op vroegere terugkeer of op een combinatie daarvan. De tellingen kunnen deze mogelijkheden niet van elkaar scheiden, omdat individuele vogels niet worden gevolgd.</w:t>
      </w:r>
    </w:p>
    <w:p>
      <w:pPr>
        <w:widowControl/>
        <w:keepLines/>
      </w:pPr>
      <w:r>
        <w:rPr>
          <w:rFonts w:ascii="Calibri" w:hAnsi="Calibri"/>
          <w:b w:val="0"/>
          <w:sz w:val="22"/>
        </w:rPr>
        <w:t xml:space="preserve">Ook bij de </w:t>
      </w:r>
      <w:r>
        <w:rPr>
          <w:rFonts w:ascii="Calibri" w:hAnsi="Calibri"/>
          <w:b/>
          <w:sz w:val="22"/>
        </w:rPr>
        <w:t>Winterkoning</w:t>
      </w:r>
      <w:r>
        <w:rPr>
          <w:rFonts w:ascii="Calibri" w:hAnsi="Calibri"/>
          <w:b w:val="0"/>
          <w:sz w:val="22"/>
        </w:rPr>
        <w:t xml:space="preserve"> verschoof het zwaartepunt enigszins van september en oktober naar november tot en met maart. Deze soort geldt in de Nederlandse broedpopulatie vooral als standvogel. Dat maakt meteen duidelijk dat een veranderend maandpatroon niet automatisch een veranderde trekstrategie betekent. Lokale verplaatsingen, winteroverleving, weersomstandigheden en de kans om een vogel tijdens een telling te zien kunnen eveneens een rol spelen.</w:t>
      </w:r>
    </w:p>
    <w:p>
      <w:pPr>
        <w:widowControl/>
        <w:keepLines/>
      </w:pPr>
      <w:r>
        <w:rPr>
          <w:rFonts w:ascii="Calibri" w:hAnsi="Calibri"/>
          <w:b w:val="0"/>
          <w:sz w:val="22"/>
        </w:rPr>
        <w:t xml:space="preserve">Bij de </w:t>
      </w:r>
      <w:r>
        <w:rPr>
          <w:rFonts w:ascii="Calibri" w:hAnsi="Calibri"/>
          <w:b/>
          <w:sz w:val="22"/>
        </w:rPr>
        <w:t>Kneu</w:t>
      </w:r>
      <w:r>
        <w:rPr>
          <w:rFonts w:ascii="Calibri" w:hAnsi="Calibri"/>
          <w:b w:val="0"/>
          <w:sz w:val="22"/>
        </w:rPr>
        <w:t xml:space="preserve">, een korte- tot middellangeafstandstrekker, werd maart belangrijker ten opzichte van september en de middenwinter. Dat is een interessant signaal van veranderend seizoensgebruik, maar minder robuust dan het patroon bij de Tjiftjaf. Bij </w:t>
      </w:r>
      <w:r>
        <w:rPr>
          <w:rFonts w:ascii="Calibri" w:hAnsi="Calibri"/>
          <w:b/>
          <w:sz w:val="22"/>
        </w:rPr>
        <w:t>Krakeend</w:t>
      </w:r>
      <w:r>
        <w:rPr>
          <w:rFonts w:ascii="Calibri" w:hAnsi="Calibri"/>
          <w:b w:val="0"/>
          <w:sz w:val="22"/>
        </w:rPr>
        <w:t xml:space="preserve"> en </w:t>
      </w:r>
      <w:r>
        <w:rPr>
          <w:rFonts w:ascii="Calibri" w:hAnsi="Calibri"/>
          <w:b/>
          <w:sz w:val="22"/>
        </w:rPr>
        <w:t>Tafeleend</w:t>
      </w:r>
      <w:r>
        <w:rPr>
          <w:rFonts w:ascii="Calibri" w:hAnsi="Calibri"/>
          <w:b w:val="0"/>
          <w:sz w:val="22"/>
        </w:rPr>
        <w:t xml:space="preserve"> veranderde vooral de verdeling van de getelde aantallen over de maanden; de waarnemingsfrequentie veranderde minder overtuigend. Daar lijkt groepsgrootte dus minstens zo belangrijk als aankomst of vertrek.</w:t>
      </w:r>
    </w:p>
    <w:p>
      <w:pPr>
        <w:widowControl/>
        <w:keepLines/>
      </w:pPr>
      <w:r>
        <w:rPr>
          <w:rFonts w:ascii="Calibri" w:hAnsi="Calibri"/>
          <w:b w:val="0"/>
          <w:sz w:val="22"/>
        </w:rPr>
        <w:t>Over alle 17 soorten met een betrouwbare winterindex ontstaat geen uniforme indeling naar trekstrategie. Standvogels, gedeeltelijke trekkers en korte- of middellangeafstandstrekkers laten binnen hun eigen groep verschillende patronen zien. Langeafstandstrekkers ontbreken in deze groep van 17 soorten en kunnen hiermee dus niet verantwoord worden vergeleken.</w:t>
      </w:r>
    </w:p>
    <w:p>
      <w:pPr>
        <w:widowControl/>
        <w:keepLines/>
      </w:pPr>
      <w:r>
        <w:rPr>
          <w:rFonts w:ascii="Calibri" w:hAnsi="Calibri"/>
          <w:b w:val="0"/>
          <w:sz w:val="22"/>
        </w:rPr>
        <w:t>De trekstrategie beschrijft bovendien de Nederlandse of Noordwest-Europese broedpopulatie. De herkomst van de vogels die 's winters in Meijendel worden geteld is meestal niet bekend. De koppeling met migratie helpt daarom bij de interpretatie, maar bewijst niet welke trekbeweging achter een lokaal maandpatroon zit.</w:t>
      </w:r>
    </w:p>
    <w:p>
      <w:pPr>
        <w:pStyle w:val="Heading1"/>
        <w:widowControl/>
        <w:keepLines/>
        <w:keepNext/>
      </w:pPr>
      <w:r>
        <w:t>Van telling naar winterindex</w:t>
      </w:r>
    </w:p>
    <w:p>
      <w:pPr>
        <w:widowControl/>
        <w:keepLines/>
      </w:pPr>
      <w:r>
        <w:rPr>
          <w:rFonts w:ascii="Calibri" w:hAnsi="Calibri"/>
          <w:b w:val="0"/>
          <w:sz w:val="22"/>
        </w:rPr>
        <w:t>De winteranalyse omvat 220 geregistreerde soorten. Voor iedere soort is bepaald welke uitspraak door de gegevens wordt gedragen:</w:t>
      </w:r>
    </w:p>
    <w:p>
      <w:pPr>
        <w:pStyle w:val="ListBullet"/>
        <w:widowControl/>
        <w:keepLines/>
      </w:pPr>
      <w:r>
        <w:rPr>
          <w:rFonts w:ascii="Calibri" w:hAnsi="Calibri"/>
          <w:b w:val="0"/>
          <w:sz w:val="22"/>
        </w:rPr>
        <w:t xml:space="preserve"> 17 soorten hebben een betrouwbare gestandaardiseerde winterindex;</w:t>
      </w:r>
    </w:p>
    <w:p>
      <w:pPr>
        <w:pStyle w:val="ListBullet"/>
        <w:widowControl/>
        <w:keepLines/>
      </w:pPr>
      <w:r>
        <w:rPr>
          <w:rFonts w:ascii="Calibri" w:hAnsi="Calibri"/>
          <w:b w:val="0"/>
          <w:sz w:val="22"/>
        </w:rPr>
        <w:t xml:space="preserve"> 41 soorten hebben een indicatieve index die als signaal bruikbaar is;</w:t>
      </w:r>
    </w:p>
    <w:p>
      <w:pPr>
        <w:pStyle w:val="ListBullet"/>
        <w:widowControl/>
        <w:keepLines/>
      </w:pPr>
      <w:r>
        <w:rPr>
          <w:rFonts w:ascii="Calibri" w:hAnsi="Calibri"/>
          <w:b w:val="0"/>
          <w:sz w:val="22"/>
        </w:rPr>
        <w:t xml:space="preserve"> 162 soorten worden alleen beschrijvend getoond.</w:t>
      </w:r>
    </w:p>
    <w:p>
      <w:pPr>
        <w:widowControl/>
        <w:keepLines/>
      </w:pPr>
      <w:r>
        <w:rPr>
          <w:rFonts w:ascii="Calibri" w:hAnsi="Calibri"/>
          <w:b w:val="0"/>
          <w:sz w:val="22"/>
        </w:rPr>
        <w:t>De winterindex houdt rekening met verschillen tussen winters, maanden, kavels en het gebruikte teltype. Het modelgemiddelde over de eerste vijf winters, 2000/01 tot en met 2004/05, heeft de waarde 100. Een waarde boven 100 betekent dat het verwachte geregistreerde aantal per volledig bezoek hoger ligt dan in die basisperiode; een waarde onder 100 betekent dat het lager ligt. Rond iedere index staat een onzekerheidsmarge.</w:t>
      </w:r>
    </w:p>
    <w:p>
      <w:pPr>
        <w:widowControl/>
        <w:keepLines/>
      </w:pPr>
      <w:r>
        <w:rPr>
          <w:rFonts w:ascii="Calibri" w:hAnsi="Calibri"/>
          <w:b w:val="0"/>
          <w:sz w:val="22"/>
        </w:rPr>
        <w:t>Voor soorten met te weinig waarnemingen wordt geen gestandaardiseerde trend berekend. Daar worden alleen het gemiddelde geregistreerde aantal en de waarnemingsfrequentie beschreven. Zo krijgt iedere soort een passende plek, zonder schijnzekerheid.</w:t>
      </w:r>
    </w:p>
    <w:p>
      <w:pPr>
        <w:pStyle w:val="Heading1"/>
        <w:widowControl/>
        <w:keepLines/>
        <w:keepNext/>
      </w:pPr>
      <w:r>
        <w:t>Wat de tellingen wel en niet zeggen</w:t>
      </w:r>
    </w:p>
    <w:p>
      <w:pPr>
        <w:widowControl/>
        <w:keepLines/>
      </w:pPr>
      <w:r>
        <w:rPr>
          <w:rFonts w:ascii="Calibri" w:hAnsi="Calibri"/>
          <w:b w:val="0"/>
          <w:sz w:val="22"/>
        </w:rPr>
        <w:t>De resultaten beschrijven veranderingen in de aantallen die tijdens volledige, reguliere bezoeken zijn geregistreerd. Ze zijn geen schatting van het totale aantal wintervogels in Meijendel. Dezelfde vogel kan tijdens verschillende maanden opnieuw zijn geteld en niet iedere aanwezige vogel wordt tijdens een bezoek gezien.</w:t>
      </w:r>
    </w:p>
    <w:p>
      <w:pPr>
        <w:widowControl/>
        <w:keepLines/>
      </w:pPr>
      <w:r>
        <w:rPr>
          <w:rFonts w:ascii="Calibri" w:hAnsi="Calibri"/>
          <w:b w:val="0"/>
          <w:sz w:val="22"/>
        </w:rPr>
        <w:t>Ook verklaren de tellingen op zichzelf geen oorzaken. Veranderingen in weer, waterstand, vegetatie, voedsel, rust, trekgedrag of ontwikkelingen buiten Meijendel kunnen allemaal een rol spelen. Voor zulke conclusies zijn aanvullende gegevens nodig.</w:t>
      </w:r>
    </w:p>
    <w:p>
      <w:pPr>
        <w:widowControl/>
        <w:keepLines/>
      </w:pPr>
      <w:r>
        <w:rPr>
          <w:rFonts w:ascii="Calibri" w:hAnsi="Calibri"/>
          <w:b w:val="0"/>
          <w:sz w:val="22"/>
        </w:rPr>
        <w:t>Wat de reeks wél overtuigend toont, is hoe verschillend soorten zich gedurende een kwart eeuw hebben ontwikkeld. Dankzij de vaste telinspanning wordt zichtbaar welke vogels toenemen, welke afnemen, wanneer zij het gebied gebruiken en bij welke soorten voorzichtigheid nodig blijft.</w:t>
      </w:r>
    </w:p>
    <w:p>
      <w:pPr>
        <w:widowControl/>
        <w:keepLines/>
      </w:pPr>
      <w:r>
        <w:rPr>
          <w:rFonts w:ascii="Calibri" w:hAnsi="Calibri"/>
          <w:b w:val="0"/>
          <w:sz w:val="22"/>
        </w:rPr>
        <w:t>Dat is de waarde van vijfentwintig winters tellen: niet één eenvoudig cijfer, maar een steeds scherper beeld van een wintervogelwereld die voortdurend verandert.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color w:val="5C5C5C"/>
        <w:sz w:val="17"/>
      </w:rPr>
      <w:t xml:space="preserve">CONCEPT - NIET GEPUBLICEERD   |   </w:t>
    </w:r>
    <w:r>
      <w:rPr>
        <w:rFonts w:ascii="Calibri" w:hAnsi="Calibri"/>
        <w:color w:val="5C5C5C"/>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C5C5C"/>
        <w:sz w:val="17"/>
      </w:rPr>
      <w:t>VWG Meijendel  |  Publieksartikel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9"/>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A697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Lead">
    <w:name w:val="Article Lead"/>
    <w:pPr>
      <w:spacing w:before="0" w:after="240" w:line="300" w:lineRule="auto"/>
      <w:jc w:val="left"/>
    </w:pPr>
    <w:rPr>
      <w:rFonts w:ascii="Calibri" w:hAnsi="Calibri"/>
      <w:color w:val="20374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Vijfentwintig winters vogels tellen in Meijendel</dc:title>
  <dc:subject>Niet één wintervogelverhaal, maar vele verschillende veranderingen</dc:subject>
  <dc:creator>Vogelwerkgroep Meijendel</dc:creator>
  <cp:keywords>wintertellingen, Meijendel, vogels, publieksartikel</cp:keywords>
  <dc:description>Concept - niet gepubliceerd</dc:description>
  <cp:lastModifiedBy/>
  <cp:revision>1</cp:revision>
  <dcterms:created xsi:type="dcterms:W3CDTF">2013-12-23T23:15:00Z</dcterms:created>
  <dcterms:modified xsi:type="dcterms:W3CDTF">2013-12-23T23:15:00Z</dcterms:modified>
  <cp:category/>
</cp:coreProperties>
</file>