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14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1" w:name="_4a53154a1633e588416373f70b0c468114c0efc"/>
      <w:r>
        <w:t xml:space="preserve">Overkoepelende analysegeschiktheid</w:t>
      </w:r>
      <w:bookmarkEnd w:id="11"/>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2" w:name="_beheerregel"/>
      <w:r>
        <w:t xml:space="preserve">Beheerregel</w:t>
      </w:r>
      <w:bookmarkEnd w:id="12"/>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3" w:name="_7243eacc1b8f4fc7d12d9437ed06490b9a892ca"/>
      <w:r>
        <w:t xml:space="preserve">1. Bronnen in MySQL-database</w:t>
      </w:r>
      <w:r>
        <w:t xml:space="preserve"> </w:t>
      </w:r>
      <w:r>
        <w:rPr>
          <w:rStyle w:val="VerbatimChar"/>
        </w:rPr>
        <w:t xml:space="preserve">Meijendel</w:t>
      </w:r>
      <w:bookmarkEnd w:id="13"/>
    </w:p>
    <w:p>
      <w:pPr>
        <w:pStyle w:val="Heading3"/>
      </w:pPr>
      <w:bookmarkStart w:id="14" w:name="_ccd8cb4345e3f59364194a2576f706cc2c0a66e"/>
      <w:r>
        <w:t xml:space="preserve">1.1. Vogelgegevens van Vogelwerkgroep Meijendel en SOVON</w:t>
      </w:r>
      <w:bookmarkEnd w:id="14"/>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5" w:name="_8a72a17aa3ecdd9f667bccd1a9ca55413034b5d"/>
      <w:r>
        <w:t xml:space="preserve">1.2. Provinciale permanente kwadraten</w:t>
      </w:r>
      <w:bookmarkEnd w:id="15"/>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Heading3"/>
      </w:pPr>
      <w:bookmarkStart w:id="16" w:name="_ded6c184b9a569c146345b6e935b052f391caf7"/>
      <w:r>
        <w:t xml:space="preserve">1.3. Zoogdieren tijdens SOVON- en VWG-bezoeken</w:t>
      </w:r>
      <w:bookmarkEnd w:id="16"/>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7" w:name="_94090b81dff39a8cf27d4389271118caece3ef6"/>
      <w:r>
        <w:t xml:space="preserve">1.4. Historisch vangblikonderzoek</w:t>
      </w:r>
      <w:bookmarkEnd w:id="17"/>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8">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19" w:name="_003d1b4454050d8b2300662d18ee0e6097f4328"/>
      <w:r>
        <w:t xml:space="preserve">1.5. NDFF: één canonieke laag van openbare en beveiligde gegevens</w:t>
      </w:r>
      <w:bookmarkEnd w:id="19"/>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0" w:name="_dagvlinders"/>
      <w:r>
        <w:t xml:space="preserve">1.5.1. Dagvlinders</w:t>
      </w:r>
      <w:bookmarkEnd w:id="20"/>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1" w:name="_hommels"/>
      <w:r>
        <w:t xml:space="preserve">1.5.2. Hommels</w:t>
      </w:r>
      <w:bookmarkEnd w:id="21"/>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2" w:name="_libellen"/>
      <w:r>
        <w:t xml:space="preserve">1.5.3. Libellen</w:t>
      </w:r>
      <w:bookmarkEnd w:id="22"/>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Heading4"/>
      </w:pPr>
      <w:bookmarkStart w:id="23" w:name="_nachtvlinders"/>
      <w:r>
        <w:t xml:space="preserve">1.5.4. Nachtvlinders</w:t>
      </w:r>
      <w:bookmarkEnd w:id="23"/>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4" w:name="_amfibieën"/>
      <w:r>
        <w:t xml:space="preserve">1.5.5. Amfibieën</w:t>
      </w:r>
      <w:bookmarkEnd w:id="24"/>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5" w:name="_reptielen"/>
      <w:r>
        <w:t xml:space="preserve">1.5.6. Reptielen</w:t>
      </w:r>
      <w:bookmarkEnd w:id="25"/>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6" w:name="_vissen"/>
      <w:r>
        <w:t xml:space="preserve">1.5.7. Vissen</w:t>
      </w:r>
      <w:bookmarkEnd w:id="26"/>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7" w:name="_vleermuistransecten"/>
      <w:r>
        <w:t xml:space="preserve">1.5.8. Vleermuistransecten</w:t>
      </w:r>
      <w:bookmarkEnd w:id="27"/>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8" w:name="_38cdc6eff084869e7169beb9a7d0a36448859a3"/>
      <w:r>
        <w:t xml:space="preserve">1.5.9. Konijnentellingen in de duinen</w:t>
      </w:r>
      <w:bookmarkEnd w:id="28"/>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29" w:name="_b7507ab25f19a705cdaea288841b95e0326cd82"/>
      <w:r>
        <w:t xml:space="preserve">1.5.10. Wintertellingen vleermuizen</w:t>
      </w:r>
      <w:bookmarkEnd w:id="29"/>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0" w:name="_ba761ed76f0837e5aa40881d1ff3dfd4f2a2564"/>
      <w:r>
        <w:t xml:space="preserve">1.5.11. Het Nieuwe Strepen</w:t>
      </w:r>
      <w:bookmarkEnd w:id="30"/>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1" w:name="_add682eaf9770b54759a1b54720dedd522bc07f"/>
      <w:r>
        <w:t xml:space="preserve">1.5.12. FLORBASE en andere vaatplantinventarisaties</w:t>
      </w:r>
      <w:bookmarkEnd w:id="31"/>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2" w:name="_ddc09a389d1414cf9c368e3f96b3cd144167922"/>
      <w:r>
        <w:t xml:space="preserve">1.5.13. LMF-aandachtssoorten</w:t>
      </w:r>
      <w:bookmarkEnd w:id="32"/>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3" w:name="_54b0c9881ebf1c9c32ceb4f54ebc7dcb81d8783"/>
      <w:r>
        <w:t xml:space="preserve">1.5.14. Mossen en korstmossen</w:t>
      </w:r>
      <w:bookmarkEnd w:id="33"/>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4" w:name="_1bea655362975aef3d944c226fffca3cc18312c"/>
      <w:r>
        <w:t xml:space="preserve">1.5.15. Bos- en zeereeppaddenstoelen</w:t>
      </w:r>
      <w:bookmarkEnd w:id="34"/>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5" w:name="_weekdieren"/>
      <w:r>
        <w:t xml:space="preserve">1.5.16. Weekdieren</w:t>
      </w:r>
      <w:bookmarkEnd w:id="35"/>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6" w:name="_1879253ee2dfd52031c9d63749e2737783da88e"/>
      <w:r>
        <w:t xml:space="preserve">1.5.17. SNL-gebiedsmonitoring</w:t>
      </w:r>
      <w:bookmarkEnd w:id="36"/>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7" w:name="_3dde7cd9c0fbcfd44f499ab6a6ef5cfd62b0862"/>
      <w:r>
        <w:t xml:space="preserve">1.6. Openbare externe ecologiebronnen</w:t>
      </w:r>
      <w:bookmarkEnd w:id="37"/>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8">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9">
        <w:r>
          <w:rPr>
            <w:rStyle w:val="Hyperlink"/>
          </w:rPr>
          <w:t xml:space="preserve">het taxonregister</w:t>
        </w:r>
      </w:hyperlink>
      <w:r>
        <w:t xml:space="preserve">.</w:t>
      </w:r>
    </w:p>
    <w:p>
      <w:pPr>
        <w:pStyle w:val="Heading4"/>
      </w:pPr>
      <w:bookmarkStart w:id="40" w:name="_9c98e6e0799dea8eed6786abf4e9090b0506343"/>
      <w:r>
        <w:t xml:space="preserve">1.6.1. STOWA Limnodata</w:t>
      </w:r>
      <w:bookmarkEnd w:id="40"/>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1" w:name="_7810a275271da51e128daf1eadaca77f875310a"/>
      <w:r>
        <w:t xml:space="preserve">1.6.2. ENDURE helmduinfauna</w:t>
      </w:r>
      <w:bookmarkEnd w:id="41"/>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2" w:name="_5a504ff8abd850ffc7704ce23c8f7bb19f98000"/>
      <w:r>
        <w:t xml:space="preserve">1.6.3. Landelijke Vegetatie Databank</w:t>
      </w:r>
      <w:bookmarkEnd w:id="42"/>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3" w:name="_a4b8938f650cad67af8384aa358648ef6881db5"/>
      <w:r>
        <w:t xml:space="preserve">1.6.4. Historische vlinder- en motcollectie</w:t>
      </w:r>
      <w:bookmarkEnd w:id="43"/>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4" w:name="_b06cb21dbe9ca56883ae8ed5d3f986798494e94"/>
      <w:r>
        <w:t xml:space="preserve">1.6.5. Naturalis Botany</w:t>
      </w:r>
      <w:bookmarkEnd w:id="44"/>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5" w:name="_335dc587b878851a017369d1c1c7e74fa2018ad"/>
      <w:r>
        <w:t xml:space="preserve">1.6.6. Naturalis Coleoptera</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6" w:name="_5d611a31ac68a696fd179c2c85c282500afefc7"/>
      <w:r>
        <w:t xml:space="preserve">1.7. Openstaande ruimtelijke toelatingscontrole</w:t>
      </w:r>
      <w:bookmarkEnd w:id="46"/>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7" w:name="_6e396c95ed446dc595f32661c45d91742a47fe5"/>
      <w:r>
        <w:t xml:space="preserve">1.8. Verklarende omgevingslagen</w:t>
      </w:r>
      <w:bookmarkEnd w:id="47"/>
    </w:p>
    <w:p>
      <w:pPr>
        <w:pStyle w:val="FirstParagraph"/>
      </w:pPr>
      <w:r>
        <w:t xml:space="preserve">Deze gegevens zijn geen soortenwaarnemingen. Zij kunnen wel helpen om ecologische veranderingen te beschrijven of als mogelijke verklaring te toetsen.</w:t>
      </w:r>
    </w:p>
    <w:p>
      <w:pPr>
        <w:pStyle w:val="Heading4"/>
      </w:pPr>
      <w:bookmarkStart w:id="48" w:name="_bb0c62bd471c774923f07d8b7b6f705ce2e805a"/>
      <w:r>
        <w:t xml:space="preserve">1.8.1. Dagelijks weer</w:t>
      </w:r>
      <w:bookmarkEnd w:id="48"/>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49" w:name="_hoogte"/>
      <w:r>
        <w:t xml:space="preserve">1.8.2. Hoogte</w:t>
      </w:r>
      <w:bookmarkEnd w:id="49"/>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0" w:name="_stikstofdepositie"/>
      <w:r>
        <w:t xml:space="preserve">1.8.3. Stikstofdepositie</w:t>
      </w:r>
      <w:bookmarkEnd w:id="50"/>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1" w:name="_bodemgebruik"/>
      <w:r>
        <w:t xml:space="preserve">1.8.4. Bodemgebruik</w:t>
      </w:r>
      <w:bookmarkEnd w:id="51"/>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2" w:name="_6205564c333359604d547302ef9994dbae8e150"/>
      <w:r>
        <w:t xml:space="preserve">1.8.5. Natura 2000-habitat</w:t>
      </w:r>
      <w:bookmarkEnd w:id="52"/>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Heading3"/>
      </w:pPr>
      <w:bookmarkStart w:id="53" w:name="_55651eaef6a7220015a2870e55a9e8e9e62256a"/>
      <w:r>
        <w:t xml:space="preserve">1.9. Werkzaamheden en beheermaatregelen</w:t>
      </w:r>
      <w:bookmarkEnd w:id="53"/>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De brede tekstselectie bevatte 351 bijlagen. De strengere selectie op formuleringen die feitelijke uitvoering aanduiden bevatte 206 bijlagen bij 190 bibliografische bronnen. Na beoordeling op uitvoering, locatie, jaar, dubbeling en brontype zijn vijftien aanvullende Zotero-bronnen ingevoerd: de vogelrapporten over 1967, 1968, 1969, 1972, 1973, 1974 en 1975; de rietpotenproef uit 1987/1992; publicaties over begrazing uit 2008 en 2012;</w:t>
      </w:r>
      <w:r>
        <w:t xml:space="preserve"> </w:t>
      </w:r>
      <w:r>
        <w:rPr>
          <w:i/>
          <w:iCs/>
        </w:rPr>
        <w:t xml:space="preserve">Vegetatieontwikkeling in duinvalleien van Meijendel na opheffen van infiltratieplassen</w:t>
      </w:r>
      <w:r>
        <w:t xml:space="preserve"> </w:t>
      </w:r>
      <w:r>
        <w:t>uit 2003; natuurherstel uit 2005; slib in infiltratieplassen uit 2005; Plas 20.1 uit 2006; en Holland’s Duinen 86 uit 2025 met de kaart van de dagvlinderroute Parnassiapad. Samen met de zes al gebruikte Zotero-bronnen bevat</w:t>
      </w:r>
      <w:r>
        <w:t xml:space="preserve"> </w:t>
      </w:r>
      <w:r>
        <w:rPr>
          <w:rStyle w:val="VerbatimChar"/>
        </w:rPr>
        <w:t xml:space="preserve">maatregel_bron</w:t>
      </w:r>
      <w:r>
        <w:t xml:space="preserve"> </w:t>
      </w:r>
      <w:r>
        <w:t>nu 21 lokale Zotero-bronnen. Dubbele exemplaren, algemene gebiedsbeschrijvingen, uitsluitend voorgenomen werk en niet-lokaliseerbare vermeldingen zijn niet als afzonderlijke uitvoering ingevoerd.</w:t>
      </w:r>
    </w:p>
    <w:p>
      <w:pPr>
        <w:pStyle w:val="BodyText"/>
      </w:pPr>
      <w:r>
        <w:t xml:space="preserve">Daarbij zijn zeven officiële internetbronnen geraadpleegd: vijf Dunea-pagina’s over optimalisatie van de waterwinning, beheer in Meeuwenduin en Prinsenduin, vervanging van slagbomen, actuele werkzaamheden en duindynamiek; het Dunea-jaarverslag 2024; en het Zuid-Hollandse subsidie-openstellingsbesluit voor Bendel.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De levende lokale database bevat 18 projecten, 28 bronnen, 61 uitvoeringen, 92 expliciete jaarbeoordelingen uit 1967–2025 en 80 bronkoppelingen. Van de jaarbeoordelingen zijn er 76</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nieuwe invoer voegt 28 feitelijke uitvoeringen uit 1967–2006 toe. Zij betreft waterwinning en infiltratieplassen, pad- en rasterwerk, zandvastlegging, de rietpotenproef, begrazing, maaien, plaggen en slibverwijdering.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4">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bevat 86 geverifieerde directe relaties. Daarvan waren 36 al onderbouwd met expliciete kavelvermeldingen, gebruikersvaststellingen of een bijzondere gebiedsnaam. De nameninventaris voegt 32 geometrische doorsnijdingen toe voor zes volledig en letterlijk gelokaliseerde uitvoeringen met de naamobjecten Kijfhoek, Bierlap, Meeuwenhoek, Tafelberg, ’t Scheepje, Uilenbosch en Oude Rijs uit</w:t>
      </w:r>
      <w:r>
        <w:t xml:space="preserve"> </w:t>
      </w:r>
      <w:r>
        <w:rPr>
          <w:rStyle w:val="VerbatimChar"/>
        </w:rPr>
        <w:t xml:space="preserve">meijendel_nameninventaris_2026-10-14</w:t>
      </w:r>
      <w:r>
        <w:t xml:space="preserve">. Daarnaast zijn elf relaties toegevoegd voor de al vastgestelde volledige systemen Pan 13 en Plas 20. De begrazing van de Helmduinen vanaf eind 1991 is op 14 oktober 2026 door Ton gekoppeld aan M13, M13s, M14, M15, M16 en M17a. M16 omvat het grootste deel; M15 en M17a zijn gedeeltelijk betrokken; voor M13, M13s en M14 zijn aanvullende consequenties vastgesteld. Omdat de bron geen oppervlakte per kavel geeft, blijft</w:t>
      </w:r>
      <w:r>
        <w:t xml:space="preserve"> </w:t>
      </w:r>
      <w:r>
        <w:rPr>
          <w:rStyle w:val="VerbatimChar"/>
        </w:rPr>
        <w:t xml:space="preserve">doorsnijding_pct</w:t>
      </w:r>
      <w:r>
        <w:t xml:space="preserve"> </w:t>
      </w:r>
      <w:r>
        <w:t xml:space="preserve">voor alle zes leeg.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 </w:t>
      </w:r>
      <w:r>
        <w:rPr>
          <w:i/>
        </w:rPr>
        <w:t>Holland’s Duinen</w:t>
      </w:r>
      <w:r>
        <w:t xml:space="preserve"> 86 van mei 2025 toont op pagina 49, figuur 1, de route Parnassiapad aan de noordzijde van de Helmduinen en is als aanvullende ruimtelijke context geregistreerd. De precieze plaggrens binnen M15 is niet bekend; doorsnijding_pct blijft leeg.</w:t>
      </w:r>
    </w:p>
    <w:p>
      <w:pPr>
        <w:pStyle w:val="BodyText"/>
      </w:pPr>
      <w:r>
        <w:t>De 86 plotkoppelingen en 75 uitgevoerde jaarregels leveren samen 109 regels in</w:t>
      </w:r>
      <w:r>
        <w:t xml:space="preserve"> </w:t>
      </w:r>
      <w:r>
        <w:rPr>
          <w:rStyle w:val="VerbatimChar"/>
        </w:rPr>
        <w:t xml:space="preserve">v_plot_jaar_maatregel_bronvast</w:t>
      </w:r>
      <w:r>
        <w:t>. De nameninventaris voegt 36 plot-jaarrijen toe: begrazing in Kijfhoek en Bierlap in 1990, hervat maaibeheer bij Tafelberg en ’t Scheepje in 2025, uitgevoerd maaibeheer in Uilenbosch in 2017–2021 en vogelkersbestrijding in Kijfhoek, Bierlap en Meeuwenhoek in 2020. De aanvullende systeemkoppelingen voegen 22 plot-jaarrijen toe: vier voor de oeveraanpassing van Pan 13 in 1988–1989 en achttien voor drie uitvoeringen in Plas 20 in 2005–2006. De Helmduinen-koppeling voegt zes plot-jaarrijen voor 1991 toe; Parnassiapad 2 voegt één plot-jaarrij voor M15 in 1993 toe. De koppelingen voor de uitbreiding van het begrazingsgebied met Meeuwenhoek en het maaibeheer in Oude Rijs leveren geen uitgevoerde plot-jaarrij, omdat respectievelijk een uitvoeringsjaar ontbreekt en 2025 als</w:t>
      </w:r>
      <w:r>
        <w:t xml:space="preserve"> </w:t>
      </w:r>
      <w:r>
        <w:rPr>
          <w:rStyle w:val="VerbatimChar"/>
        </w:rPr>
        <w:t xml:space="preserve">niet_uitgevoerd</w:t>
      </w:r>
      <w:r>
        <w:t xml:space="preserve"> </w:t>
      </w:r>
      <w:r>
        <w:t xml:space="preserve">is vastgelegd. Voorlinden levert evenmin een plot-jaarrij omdat de jaarstatus voor 2025</w:t>
      </w:r>
      <w:r>
        <w:t xml:space="preserve"> </w:t>
      </w:r>
      <w:r>
        <w:rPr>
          <w:rStyle w:val="VerbatimChar"/>
        </w:rPr>
        <w:t xml:space="preserve">onbekend</w:t>
      </w:r>
      <w:r>
        <w:t xml:space="preserve"> </w:t>
      </w:r>
      <w:r>
        <w:t xml:space="preserve">is.</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bestaande regels in</w:t>
      </w:r>
      <w:r>
        <w:t xml:space="preserve"> </w:t>
      </w:r>
      <w:r>
        <w:rPr>
          <w:rStyle w:val="VerbatimChar"/>
        </w:rPr>
        <w:t xml:space="preserve">plot_jaar_maatregel</w:t>
      </w:r>
      <w:r>
        <w:t xml:space="preserve"> </w:t>
      </w:r>
      <w:r>
        <w:t xml:space="preserve">betreffen begrazing in 16 plots uit 1991–1999. Hun aantal en checksum</w:t>
      </w:r>
      <w:r>
        <w:t xml:space="preserve"> </w:t>
      </w:r>
      <w:r>
        <w:rPr>
          <w:rStyle w:val="VerbatimChar"/>
        </w:rPr>
        <w:t xml:space="preserve">306480715648</w:t>
      </w:r>
      <w:r>
        <w:t xml:space="preserve"> </w:t>
      </w:r>
      <w:r>
        <w:t xml:space="preserve">zijn vóór en na deze invoer gelijk gebleven; zij worden niet als onderdeel van de nieuwe bronvaste laag geteld.</w:t>
      </w:r>
    </w:p>
    <w:p>
      <w:pPr>
        <w:pStyle w:val="BodyText"/>
      </w:pPr>
      <w:r>
        <w:rPr>
          <w:b/>
          <w:bCs/>
        </w:rPr>
        <w:t xml:space="preserve">Status.</w:t>
      </w:r>
      <w:r>
        <w:t xml:space="preserve"> </w:t>
      </w:r>
      <w:r>
        <w:t>Bronvast op project-, uitvoering- en jaarniveau voor de 28 ingevoerde bronnen en 61 uitvoeringen. De algemene kavel- en gebiedsindeling is geometrisch beschikbaar voor de 55 actuele plots uit 2025; vijf expliciet gekoppelde historische kavels hebben geen afzonderlijke geometrie. De bronvaste plot-jaarlaag bevat 109 regels voor 1967–1969, 1972–1975, 1988–1991, 1993, 2005–2006, 2017–2021 en 2025. Zes uitvoeringen zijn via de nameninventaris aan 32 kavelsituaties gekoppeld; Pan 13 en Plas 20 voegen elf aanvullende relaties toe, Helmduinen zes en Parnassiapad 2 één. Nog 29 uitvoeringen hebben geen directe plotkoppeling.</w:t>
      </w:r>
    </w:p>
    <w:p>
      <w:pPr>
        <w:pStyle w:val="Heading2"/>
      </w:pPr>
      <w:bookmarkStart w:id="55" w:name="_3b532014da7425692b0b753bfd67f02e729afe2"/>
      <w:r>
        <w:t xml:space="preserve">2. Bronnen in MySQL-database</w:t>
      </w:r>
      <w:r>
        <w:t xml:space="preserve"> </w:t>
      </w:r>
      <w:r>
        <w:rPr>
          <w:rStyle w:val="VerbatimChar"/>
        </w:rPr>
        <w:t xml:space="preserve">Meijendel_bronnen</w:t>
      </w:r>
      <w:bookmarkEnd w:id="55"/>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6" w:name="_duinvalleivegetatie"/>
      <w:r>
        <w:t xml:space="preserve">2.1. Duinvalleivegetatie</w:t>
      </w:r>
      <w:bookmarkEnd w:id="56"/>
    </w:p>
    <w:p>
      <w:pPr>
        <w:pStyle w:val="FirstParagraph"/>
      </w:pPr>
      <w:r>
        <w:rPr>
          <w:b/>
          <w:bCs/>
        </w:rPr>
        <w:t xml:space="preserve">Beheerder.</w:t>
      </w:r>
      <w:r>
        <w:t xml:space="preserve"> </w:t>
      </w:r>
      <w:r>
        <w:t xml:space="preserve">Openbare onderzoeksdataset,</w:t>
      </w:r>
      <w:r>
        <w:t xml:space="preserve"> </w:t>
      </w:r>
      <w:hyperlink r:id="rId57">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8" w:name="_b3fe4556564befcfb8496c13829480f8568428d"/>
      <w:r>
        <w:t xml:space="preserve">2.2. Vogelstand 1924</w:t>
      </w:r>
      <w:bookmarkEnd w:id="58"/>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59" w:name="_jachtspinnen"/>
      <w:r>
        <w:t xml:space="preserve">2.3. Jachtspinnen</w:t>
      </w:r>
      <w:bookmarkEnd w:id="59"/>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0" w:name="_literatuuroverzicht"/>
      <w:r>
        <w:t xml:space="preserve">2.4. Literatuuroverzicht</w:t>
      </w:r>
      <w:bookmarkEnd w:id="60"/>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1" w:name="_c459e94267866b3631cced111f8a87d0309b41a"/>
      <w:r>
        <w:t xml:space="preserve">2.5. Bijenmonitoring in vier beheergebieden</w:t>
      </w:r>
      <w:bookmarkEnd w:id="61"/>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2" w:name="_3de3a6968c8894ad5b666eb1a40d580f2cd5807"/>
      <w:r>
        <w:t xml:space="preserve">2.6. Aquatische macrofauna 1974–1975</w:t>
      </w:r>
      <w:bookmarkEnd w:id="62"/>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3" w:name="_ae67a70ad36e2d1d11a7d910c2e5a6d669a3a5f"/>
      <w:r>
        <w:t xml:space="preserve">3. Geïdentificeerde externe kandidaatbronnen</w:t>
      </w:r>
      <w:bookmarkEnd w:id="63"/>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4" w:name="_d53aceb4d9e4863cdbb6367737be5e291cdac65"/>
      <w:r>
        <w:t xml:space="preserve">Kandidaten met de grootste verwachte aanvulling</w:t>
      </w:r>
      <w:bookmarkEnd w:id="64"/>
    </w:p>
    <w:p>
      <w:pPr>
        <w:pStyle w:val="Heading4"/>
      </w:pPr>
      <w:bookmarkStart w:id="65" w:name="_74b9659b0fdf809bf79d99a5b829eae72be789d"/>
      <w:r>
        <w:t xml:space="preserve">3.1. Historische en actuele ringgegevens</w:t>
      </w:r>
      <w:bookmarkEnd w:id="65"/>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6" w:name="_78976b2620bc79a80ca8146881cbd2c6e6ff990"/>
      <w:r>
        <w:t xml:space="preserve">3.2. Erosiepinnen in een stuifkuilcomplex</w:t>
      </w:r>
      <w:bookmarkEnd w:id="66"/>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7" w:name="_0e60eab001b7dad7f07f0f30fba1e4c43b4fb6d"/>
      <w:r>
        <w:t xml:space="preserve">3.3. Langjarige droge-duinvegetatieplots</w:t>
      </w:r>
      <w:bookmarkEnd w:id="67"/>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69" w:name="_f31d7749b8f822cf46569bbbcf696a184226376"/>
      <w:r>
        <w:t xml:space="preserve">3.4.</w:t>
      </w:r>
      <w:r>
        <w:t xml:space="preserve"> </w:t>
      </w:r>
      <w:hyperlink r:id="rId68">
        <w:r>
          <w:rPr>
            <w:rStyle w:val="Hyperlink"/>
          </w:rPr>
          <w:t xml:space="preserve">Neuropteren van Meijendel</w:t>
        </w:r>
      </w:hyperlink>
      <w:bookmarkEnd w:id="69"/>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1" w:name="_2470413ff36fadda6aaee753e44801bf1df918f"/>
      <w:r>
        <w:t xml:space="preserve">3.5.</w:t>
      </w:r>
      <w:r>
        <w:t xml:space="preserve"> </w:t>
      </w:r>
      <w:hyperlink r:id="rId70">
        <w:r>
          <w:rPr>
            <w:rStyle w:val="Hyperlink"/>
          </w:rPr>
          <w:t xml:space="preserve">Zweefvliegen van Meijendel</w:t>
        </w:r>
      </w:hyperlink>
      <w:bookmarkEnd w:id="71"/>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2" w:name="_17333f70ef292f70875eaae009d7701e7337d63"/>
      <w:r>
        <w:t xml:space="preserve">3.6. TERRA-Dunes plant- en bodemmicrobiomen</w:t>
      </w:r>
      <w:bookmarkEnd w:id="72"/>
    </w:p>
    <w:p>
      <w:pPr>
        <w:pStyle w:val="FirstParagraph"/>
      </w:pPr>
      <w:r>
        <w:rPr>
          <w:b/>
          <w:bCs/>
        </w:rPr>
        <w:t xml:space="preserve">Eigenaar of uitgever.</w:t>
      </w:r>
      <w:r>
        <w:t xml:space="preserve"> </w:t>
      </w:r>
      <w:r>
        <w:t xml:space="preserve">Onderzoeksteam TERRA-Dunes,</w:t>
      </w:r>
      <w:r>
        <w:t xml:space="preserve"> </w:t>
      </w:r>
      <w:hyperlink r:id="rId73">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4" w:name="_40b4b5f78cd8ca95bb70f0f0c78c7e4fbf296ca"/>
      <w:r>
        <w:t xml:space="preserve">3.7. Rups- en bodemmicrobiomen</w:t>
      </w:r>
      <w:bookmarkEnd w:id="74"/>
    </w:p>
    <w:p>
      <w:pPr>
        <w:pStyle w:val="FirstParagraph"/>
      </w:pPr>
      <w:r>
        <w:rPr>
          <w:b/>
          <w:bCs/>
        </w:rPr>
        <w:t xml:space="preserve">Eigenaar of uitgever.</w:t>
      </w:r>
      <w:r>
        <w:t xml:space="preserve"> </w:t>
      </w:r>
      <w:r>
        <w:t xml:space="preserve">Onderzoeksteam,</w:t>
      </w:r>
      <w:r>
        <w:t xml:space="preserve"> </w:t>
      </w:r>
      <w:hyperlink r:id="rId75">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6" w:name="_1ba4dd18d3453a5dd5138bb384a5f14f39849e8"/>
      <w:r>
        <w:t xml:space="preserve">3.8. Schimmels bij kruipwilg</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8" w:name="_374ab00ebf692a8e3319839c9c7bfae940c399a"/>
      <w:r>
        <w:t xml:space="preserve">3.9. Plantengroei, bodemvocht en weer</w:t>
      </w:r>
      <w:bookmarkEnd w:id="78"/>
    </w:p>
    <w:p>
      <w:pPr>
        <w:pStyle w:val="FirstParagraph"/>
      </w:pPr>
      <w:r>
        <w:rPr>
          <w:b/>
          <w:bCs/>
        </w:rPr>
        <w:t xml:space="preserve">Eigenaar of uitgever.</w:t>
      </w:r>
      <w:r>
        <w:t xml:space="preserve"> </w:t>
      </w:r>
      <w:r>
        <w:t xml:space="preserve">Wageningen University &amp; Research,</w:t>
      </w:r>
      <w:r>
        <w:t xml:space="preserve"> </w:t>
      </w:r>
      <w:hyperlink r:id="rId79">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0" w:name="_936150612b1bf240012fee005a20984db1c7c99"/>
      <w:r>
        <w:t xml:space="preserve">3.10. Genetische datasets amfibieën</w:t>
      </w:r>
      <w:bookmarkEnd w:id="80"/>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1" w:name="_8c2748f02893018608c8a38a1054acf3030739d"/>
      <w:r>
        <w:t xml:space="preserve">3.11. Alleen context of nog een onderzoeksaanwijzing</w:t>
      </w:r>
      <w:bookmarkEnd w:id="81"/>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2">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3" w:name="_41253e96e2b1ec8824f9b84bf0a06f4f5ff5fba"/>
      <w:r>
        <w:t xml:space="preserve">3.12. Geografische namen en historische paden</w:t>
      </w:r>
      <w:bookmarkEnd w:id="83"/>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Heading2"/>
      </w:pPr>
      <w:bookmarkStart w:id="84" w:name="_8e1aa2a9058c5df66a55f09f3195dc2392072ca"/>
      <w:r>
        <w:t xml:space="preserve">4. Verwachte aanvullingen</w:t>
      </w:r>
      <w:bookmarkEnd w:id="84"/>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5" w:name="_bd1d36805349ef5ec39b6efd044fd20b47e23f4"/>
      <w:r>
        <w:t xml:space="preserve">5. Bronnen die niet verder worden uitgewerkt</w:t>
      </w:r>
      <w:bookmarkEnd w:id="85"/>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6" w:name="_013584c0923eee2d005d13457186cf6f9764ca0"/>
      <w:r>
        <w:t xml:space="preserve">6. Gebruik van dit register</w:t>
      </w:r>
      <w:bookmarkEnd w:id="86"/>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7" w:name="_actieplan"/>
      <w:r>
        <w:t xml:space="preserve">7. Actieplan</w:t>
      </w:r>
      <w:bookmarkEnd w:id="87"/>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8" w:name="_94b069977659593a87344faec87dcce83750292"/>
      <w:r>
        <w:t xml:space="preserve">Fase 1 — openbare, direct toetsbare bronnen</w:t>
      </w:r>
      <w:bookmarkEnd w:id="88"/>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9" w:name="_1e65d730f223a62ff579853fd3c77c9308748df"/>
      <w:r>
        <w:t xml:space="preserve">Fase 2 — reeksen met grote historische of trendwaarde</w:t>
      </w:r>
      <w:bookmarkEnd w:id="89"/>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0" w:name="_6b9d0c88ffcb5584e67daa74c9524b522af67c0"/>
      <w:r>
        <w:t xml:space="preserve">Fase 3 — reeds bekende bronhouders en contextdatasets</w:t>
      </w:r>
      <w:bookmarkEnd w:id="90"/>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1" w:name="_d490f73b19661b8ff0d346b94e527be91e989c7"/>
      <w:r>
        <w:t xml:space="preserve">Vaste werkwijze per bron</w:t>
      </w:r>
      <w:bookmarkEnd w:id="91"/>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2" w:name="_1e50ec235a164d1e043cda4cec7be66fb154af3"/>
      <w:r>
        <w:t xml:space="preserve">Dekking van de internetcontrole</w:t>
      </w:r>
      <w:bookmarkEnd w:id="92"/>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3" w:name="_5001ec8ecf742000e2504f4f268bea177f3f158"/>
      <w:r>
        <w:t xml:space="preserve">Achterliggende verantwoording</w:t>
      </w:r>
      <w:bookmarkEnd w:id="93"/>
    </w:p>
    <w:p>
      <w:pPr>
        <w:pStyle w:val="Compact"/>
        <w:numPr>
          <w:ilvl w:val="0"/>
          <w:numId w:val="1005"/>
        </w:numPr>
      </w:pPr>
      <w:hyperlink r:id="rId94">
        <w:r>
          <w:rPr>
            <w:rStyle w:val="Hyperlink"/>
          </w:rPr>
          <w:t xml:space="preserve">NDFF-staging en bronvergelijking</w:t>
        </w:r>
      </w:hyperlink>
    </w:p>
    <w:p>
      <w:pPr>
        <w:pStyle w:val="Compact"/>
        <w:numPr>
          <w:ilvl w:val="0"/>
          <w:numId w:val="1005"/>
        </w:numPr>
      </w:pPr>
      <w:hyperlink r:id="rId95">
        <w:r>
          <w:rPr>
            <w:rStyle w:val="Hyperlink"/>
          </w:rPr>
          <w:t xml:space="preserve">NDFF-protocolaudit</w:t>
        </w:r>
      </w:hyperlink>
    </w:p>
    <w:p>
      <w:pPr>
        <w:pStyle w:val="Compact"/>
        <w:numPr>
          <w:ilvl w:val="0"/>
          <w:numId w:val="1005"/>
        </w:numPr>
      </w:pPr>
      <w:hyperlink r:id="rId96">
        <w:r>
          <w:rPr>
            <w:rStyle w:val="Hyperlink"/>
          </w:rPr>
          <w:t xml:space="preserve">Scheiding tussen Meijendel en Meijendel_bronnen</w:t>
        </w:r>
      </w:hyperlink>
    </w:p>
    <w:p>
      <w:pPr>
        <w:pStyle w:val="Compact"/>
        <w:numPr>
          <w:ilvl w:val="0"/>
          <w:numId w:val="1005"/>
        </w:numPr>
      </w:pPr>
      <w:hyperlink r:id="rId97">
        <w:r>
          <w:rPr>
            <w:rStyle w:val="Hyperlink"/>
          </w:rPr>
          <w:t xml:space="preserve">Ruimtelijke audit van contextbronnen</w:t>
        </w:r>
      </w:hyperlink>
    </w:p>
    <w:p>
      <w:pPr>
        <w:pStyle w:val="Compact"/>
        <w:numPr>
          <w:ilvl w:val="0"/>
          <w:numId w:val="1005"/>
        </w:numPr>
      </w:pPr>
      <w:hyperlink r:id="rId98">
        <w:r>
          <w:rPr>
            <w:rStyle w:val="Hyperlink"/>
          </w:rPr>
          <w:t xml:space="preserve">Importbesluit duinvalleivegetatie</w:t>
        </w:r>
      </w:hyperlink>
    </w:p>
    <w:p>
      <w:pPr>
        <w:pStyle w:val="Compact"/>
        <w:numPr>
          <w:ilvl w:val="0"/>
          <w:numId w:val="1005"/>
        </w:numPr>
      </w:pPr>
      <w:hyperlink r:id="rId99">
        <w:r>
          <w:rPr>
            <w:rStyle w:val="Hyperlink"/>
          </w:rPr>
          <w:t xml:space="preserve">Ruimtelijke bronlagen en toelatingsregels</w:t>
        </w:r>
      </w:hyperlink>
    </w:p>
    <w:p>
      <w:pPr>
        <w:pStyle w:val="Compact"/>
        <w:numPr>
          <w:ilvl w:val="0"/>
          <w:numId w:val="1005"/>
        </w:numPr>
      </w:pPr>
      <w:hyperlink r:id="rId100">
        <w:r>
          <w:rPr>
            <w:rStyle w:val="Hyperlink"/>
          </w:rPr>
          <w:t xml:space="preserve">Beveiligde NDFF-ontvangst</w:t>
        </w:r>
      </w:hyperlink>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hyperlink" Target="../gis/audit/externe_ecologie_fase1_2_manifest.json" TargetMode="External"/><Relationship Id="rId96" Type="http://schemas.openxmlformats.org/officeDocument/2006/relationships/hyperlink" Target="bronnen/MEIJENDEL_BRONNEN.md" TargetMode="External"/><Relationship Id="rId97" Type="http://schemas.openxmlformats.org/officeDocument/2006/relationships/hyperlink" Target="bronnen/audits/MEIJENDEL_BRONNEN_AUDIT.md" TargetMode="External"/><Relationship Id="rId95" Type="http://schemas.openxmlformats.org/officeDocument/2006/relationships/hyperlink" Target="bronnen/audits/NDFF_PROTOCOLAUDIT.md" TargetMode="External"/><Relationship Id="rId94" Type="http://schemas.openxmlformats.org/officeDocument/2006/relationships/hyperlink" Target="bronnen/bronvergelijkingen/NDFF_STAGINGDATASET.md" TargetMode="External"/><Relationship Id="rId98" Type="http://schemas.openxmlformats.org/officeDocument/2006/relationships/hyperlink" Target="bronnen/importbesluiten/DUINVALLEI_VEGETATIE.md" TargetMode="External"/><Relationship Id="rId99" Type="http://schemas.openxmlformats.org/officeDocument/2006/relationships/hyperlink" Target="bronnen/importbesluiten/MEIJENDEL_RUIMTELIJKE_LAGEN.md" TargetMode="External"/><Relationship Id="rId100" Type="http://schemas.openxmlformats.org/officeDocument/2006/relationships/hyperlink" Target="bronnen/importbesluiten/NDFF_SECURE_ONTVANGST.md" TargetMode="External"/><Relationship Id="rId39" Type="http://schemas.openxmlformats.org/officeDocument/2006/relationships/hyperlink" Target="database/TAXONREGISTER.md" TargetMode="External"/><Relationship Id="rId82" Type="http://schemas.openxmlformats.org/officeDocument/2006/relationships/hyperlink" Target="https://doi.org/10.1007/s10531-025-03175-x" TargetMode="External"/><Relationship Id="rId77" Type="http://schemas.openxmlformats.org/officeDocument/2006/relationships/hyperlink" Target="https://doi.org/10.1371/journal.pone.0099852" TargetMode="External"/><Relationship Id="rId18" Type="http://schemas.openxmlformats.org/officeDocument/2006/relationships/hyperlink" Target="https://doi.org/10.15468/adsbxs" TargetMode="External"/><Relationship Id="rId79" Type="http://schemas.openxmlformats.org/officeDocument/2006/relationships/hyperlink" Target="https://doi.org/10.17026/DANS-28X-UT8Q" TargetMode="External"/><Relationship Id="rId75" Type="http://schemas.openxmlformats.org/officeDocument/2006/relationships/hyperlink" Target="https://doi.org/10.5061/dryad.8cz8w9gnc" TargetMode="External"/><Relationship Id="rId57" Type="http://schemas.openxmlformats.org/officeDocument/2006/relationships/hyperlink" Target="https://doi.org/10.5281/zenodo.21796880" TargetMode="External"/><Relationship Id="rId73" Type="http://schemas.openxmlformats.org/officeDocument/2006/relationships/hyperlink" Target="https://doi.org/10.6084/m9.figshare.25425601.v1" TargetMode="External"/><Relationship Id="rId70" Type="http://schemas.openxmlformats.org/officeDocument/2006/relationships/hyperlink" Target="https://repository.naturalis.nl/pub/317221" TargetMode="External"/><Relationship Id="rId68" Type="http://schemas.openxmlformats.org/officeDocument/2006/relationships/hyperlink" Target="https://repository.naturalis.nl/pub/317242" TargetMode="External"/><Relationship Id="rId54" Type="http://schemas.openxmlformats.org/officeDocument/2006/relationships/hyperlink" Target="https://www.vwg-m.nl/meijendel/index.asp" TargetMode="External"/></Relationships>
</file>

<file path=word/_rels/footnotes.xml.rels><?xml version='1.0' encoding='UTF-8' standalone='yes'?>
<Relationships xmlns="http://schemas.openxmlformats.org/package/2006/relationships"><Relationship Id="rId38" Type="http://schemas.openxmlformats.org/officeDocument/2006/relationships/hyperlink" Target="../gis/audit/externe_ecologie_fase1_2_manifest.json" TargetMode="External"/><Relationship Id="rId96" Type="http://schemas.openxmlformats.org/officeDocument/2006/relationships/hyperlink" Target="bronnen/MEIJENDEL_BRONNEN.md" TargetMode="External"/><Relationship Id="rId97" Type="http://schemas.openxmlformats.org/officeDocument/2006/relationships/hyperlink" Target="bronnen/audits/MEIJENDEL_BRONNEN_AUDIT.md" TargetMode="External"/><Relationship Id="rId95" Type="http://schemas.openxmlformats.org/officeDocument/2006/relationships/hyperlink" Target="bronnen/audits/NDFF_PROTOCOLAUDIT.md" TargetMode="External"/><Relationship Id="rId94" Type="http://schemas.openxmlformats.org/officeDocument/2006/relationships/hyperlink" Target="bronnen/bronvergelijkingen/NDFF_STAGINGDATASET.md" TargetMode="External"/><Relationship Id="rId98" Type="http://schemas.openxmlformats.org/officeDocument/2006/relationships/hyperlink" Target="bronnen/importbesluiten/DUINVALLEI_VEGETATIE.md" TargetMode="External"/><Relationship Id="rId99" Type="http://schemas.openxmlformats.org/officeDocument/2006/relationships/hyperlink" Target="bronnen/importbesluiten/MEIJENDEL_RUIMTELIJKE_LAGEN.md" TargetMode="External"/><Relationship Id="rId100" Type="http://schemas.openxmlformats.org/officeDocument/2006/relationships/hyperlink" Target="bronnen/importbesluiten/NDFF_SECURE_ONTVANGST.md" TargetMode="External"/><Relationship Id="rId39" Type="http://schemas.openxmlformats.org/officeDocument/2006/relationships/hyperlink" Target="database/TAXONREGISTER.md" TargetMode="External"/><Relationship Id="rId82" Type="http://schemas.openxmlformats.org/officeDocument/2006/relationships/hyperlink" Target="https://doi.org/10.1007/s10531-025-03175-x" TargetMode="External"/><Relationship Id="rId77" Type="http://schemas.openxmlformats.org/officeDocument/2006/relationships/hyperlink" Target="https://doi.org/10.1371/journal.pone.0099852" TargetMode="External"/><Relationship Id="rId18" Type="http://schemas.openxmlformats.org/officeDocument/2006/relationships/hyperlink" Target="https://doi.org/10.15468/adsbxs" TargetMode="External"/><Relationship Id="rId79" Type="http://schemas.openxmlformats.org/officeDocument/2006/relationships/hyperlink" Target="https://doi.org/10.17026/DANS-28X-UT8Q" TargetMode="External"/><Relationship Id="rId75" Type="http://schemas.openxmlformats.org/officeDocument/2006/relationships/hyperlink" Target="https://doi.org/10.5061/dryad.8cz8w9gnc" TargetMode="External"/><Relationship Id="rId57" Type="http://schemas.openxmlformats.org/officeDocument/2006/relationships/hyperlink" Target="https://doi.org/10.5281/zenodo.21796880" TargetMode="External"/><Relationship Id="rId73" Type="http://schemas.openxmlformats.org/officeDocument/2006/relationships/hyperlink" Target="https://doi.org/10.6084/m9.figshare.25425601.v1" TargetMode="External"/><Relationship Id="rId70" Type="http://schemas.openxmlformats.org/officeDocument/2006/relationships/hyperlink" Target="https://repository.naturalis.nl/pub/317221" TargetMode="External"/><Relationship Id="rId68" Type="http://schemas.openxmlformats.org/officeDocument/2006/relationships/hyperlink" Target="https://repository.naturalis.nl/pub/317242" TargetMode="External"/><Relationship Id="rId54" Type="http://schemas.openxmlformats.org/officeDocument/2006/relationships/hyperlink" Target="https://www.vwg-m.nl/meijendel/index.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2026-10-14T17:02:27Z</dcterms:created>
  <dcterms:modified xsi:type="dcterms:W3CDTF">2026-10-14T17:02:27Z</dcterms:modified>
</cp:coreProperties>
</file>

<file path=docProps/custom.xml><?xml version="1.0" encoding="utf-8"?>
<Properties xmlns="http://schemas.openxmlformats.org/officeDocument/2006/custom-properties" xmlns:vt="http://schemas.openxmlformats.org/officeDocument/2006/docPropsVTypes"/>
</file>