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Stand: 18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t>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t>Selectie voor bezoekanalyses, 17 oktober 2026. Gebruik ndff-libellen-selectie-v1 via --selecteer-libellen in gis/scripts/import_ndff_protocolkwaliteit.py. De selectie wordt opnieuw berekend uit de levende database, voor analysetype TV of TA. Alleen een gereconstrueerd algemeen routebezoek waarvan alle bronrecords voorlopig_bruikbaar zijn, binnen meijendel_natura2000 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 gegevensgeschiktheid, kwaliteitsmelding, het nulbewijs en de centrale taxonverwijzing. Zij bevestigt geen gevalideerde trend of afwezigheid. Er zijn geen records, bestaande nullen of analysebesluiten gewijzigd en geen extra tabellen of views gemaakt.</w:t>
      </w:r>
    </w:p>
    <w:p>
      <w:pPr>
        <w:pStyle w:val="BodyText"/>
      </w:pPr>
      <w:r>
        <w:t>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 07.201-records en geen gevuld sessionid. Deze controle sluit een levering elders niet uit; de oorspronkelijke route- en bezoekadministratie is hiermee niet verkregen.</w:t>
      </w:r>
    </w:p>
    <w:p>
      <w:pPr/>
      <w:r>
        <w:t>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r>
        <w:t>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r>
        <w:t>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meijendel_nameninventaris_2026-10-14</w:t>
      </w:r>
      <w:r>
        <w:t xml:space="preserve"> </w:t>
      </w:r>
      <w:r>
        <w:t>toegevoegd en blijft voor deze twee historische contouren een eigen maatregelgeometrie achterwege.</w:t>
      </w:r>
      <w:r/>
      <w:r>
        <w:rPr>
          <w:rStyle w:val="VerbatimChar"/>
        </w:rPr>
      </w:r>
      <w:r/>
      <w:r>
        <w:t xml:space="preserv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r>
        <w:t>3.13. Correspondentie over het Helmduinenplan</w:t>
      </w:r>
    </w:p>
    <w:p>
      <w:pPr>
        <w:pStyle w:val="BodyText"/>
      </w:pPr>
      <w:r>
        <w:t>Ontvangen en beoordeeld op 18 oktober 2026: één door Ton aangeleverde e-mailketen met vier berichten. Drie berichten zijn gedateerd 17 oktober 2026 (Ton aan Jasper 16:52, Bart aan Ton 17:31, Ton aan Bart 19:42); de inhoudelijke reactie van Bart bovenaan heeft geen eigen datumkop. Bart Dijkstra is volgens Ton de vogel- en PQ-teller van het plot inclusief het voorgenomen werkvlak; hij bevestigt jarenlang PQ-werk voor de provincie. Bronbestand: lokaal aangeleverde Geplakte tekst.txt; inhoud en SHA-256 zijn lokaal bewaard bij de dossieractualisering. Privécorrespondentie, geen toestemming voor openbare verspreiding afgeleid. Geen ruwe e-mailtekst of adressen in Git opgenomen.</w:t>
      </w:r>
    </w:p>
    <w:p>
      <w:pPr>
        <w:pStyle w:val="BodyText"/>
      </w:pPr>
      <w:r>
        <w:t>De bron beschrijft weinig verandering van hogere Duindoorn, vogelwaarde van het aaneengesloten struweel, botanisch herstel bij het Parnassiapad, een recente ingreep naast het Ganzenhoekwandelpad, natuurlijke veroudering van struweel en een brandplek. De twee beschreven valleilocaties, het kleine wilgen-berkenbosje en de brandplek hebben geen meegeleverde polygonen, oppervlakten of vaste meetperioden; zij zijn niet exact met het planvlak verbonden. “Afgelopen winter” is zonder datumkop niet als uitvoeringsjaar vastgelegd. Bart verwacht voor natte condities op hogere delen diep graven; dat is geen berekende plagdiepte. Hij heeft de kuilen nooit actief gezien; zijn afleiding vóór 1983 is geen gemeten laatste stuifjaar. Relatieve zeldzaamheid van Duindoorn en de Grasmusvergelijking tussen kavels zijn terreinbeoordelingen, geen nieuwe kwantitatieve analyse.</w:t>
      </w:r>
    </w:p>
    <w:p>
      <w:pPr>
        <w:pStyle w:val="BodyText"/>
      </w:pPr>
      <w:r>
        <w:t>Status: kwalitatieve terrein- en beheercontext, geen nieuwe meetdataset of onafhankelijke herhaling van de reeds gebruikte vogel- en PQ-reeksen. Tons bericht van 19:42 herneemt de eerdere analyse en is geen onafhankelijke ecologische bevestiging. De vijf vragen zijn al op 17 oktober aan Jasper verzonden; deze keten bevat geen antwoord van Jasper. De verklaring dat Bart eerder werk niet kende bewijst geen ontbreken van iedere aankondiging. Geen import in Meijendel of Meijendel_bronnen, geen wijziging van tellingen, coördinaten, analysetoelating, naamgrenzen of de drie geplande maatregelregistraties. De bestaande analytische bronnen, contextbronnen en kandidaten behouden hun afzonderlijke omvang, perioden en status. Verwerking: herziene werkbezoek- en veldnotitie-DOCX, aanvulling C1-C4; database- en literatuurstand 17 oktober blijft onderscheiden van correspondentiebeoordeling 18 oktober.</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