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dea145a7474320bcc321aebaf5687f9ab4d02fb"/>
    <w:p>
      <w:pPr>
        <w:pStyle w:val="Heading1"/>
      </w:pPr>
      <w:r>
        <w:t xml:space="preserve">Bronregister ecologische gegevens Meijendel</w:t>
      </w:r>
    </w:p>
    <w:p>
      <w:pPr>
        <w:pStyle w:val="FirstParagraph"/>
      </w:pPr>
      <w:r>
        <w:rPr>
          <w:b/>
          <w:bCs/>
        </w:rPr>
        <w:t xml:space="preserve">Stand: 12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10"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9">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10"/>
    <w:bookmarkStart w:id="11"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1"/>
    <w:bookmarkStart w:id="12"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2"/>
    <w:bookmarkStart w:id="53" w:name="Xc07dfd40f027bce65d2d0499dc5da8ab7f6fd0f"/>
    <w:p>
      <w:pPr>
        <w:pStyle w:val="Heading2"/>
      </w:pPr>
      <w:r>
        <w:t xml:space="preserve">1. Bronnen in MySQL-database</w:t>
      </w:r>
      <w:r>
        <w:t xml:space="preserve"> </w:t>
      </w:r>
      <w:r>
        <w:rPr>
          <w:rStyle w:val="VerbatimChar"/>
        </w:rPr>
        <w:t xml:space="preserve">Meijendel</w:t>
      </w:r>
    </w:p>
    <w:bookmarkStart w:id="13"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3"/>
    <w:bookmarkStart w:id="14" w:name="X9645acbfea6b379f23d12aeedc36c987000825a"/>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p>
    <w:bookmarkEnd w:id="14"/>
    <w:bookmarkStart w:id="15"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5"/>
    <w:bookmarkStart w:id="17"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6">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7"/>
    <w:bookmarkStart w:id="35"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8"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8"/>
    <w:bookmarkStart w:id="19"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9"/>
    <w:bookmarkStart w:id="20"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20"/>
    <w:bookmarkStart w:id="21"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1"/>
    <w:bookmarkStart w:id="22"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2"/>
    <w:bookmarkStart w:id="23"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3"/>
    <w:bookmarkStart w:id="24"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4"/>
    <w:bookmarkStart w:id="25"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5"/>
    <w:bookmarkStart w:id="26"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6"/>
    <w:bookmarkStart w:id="27"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7"/>
    <w:bookmarkStart w:id="28"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8"/>
    <w:bookmarkStart w:id="29"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9"/>
    <w:bookmarkStart w:id="30"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7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De oorspronkelijke NDFF-waarnemingen, bronvermelding en reconstructieversies blijven behouden. Alle tabelcontrolesommen zijn na de hernoeming gelijk aan de nulmeting en alle 18 foreign keys bleven intact; de centrale taxoncontrole geeft 128 werkende routes en nul fouten. De zware SQL-export en VPS-publicatie zijn nog niet uitgevoerd.</w:t>
      </w:r>
    </w:p>
    <w:bookmarkEnd w:id="30"/>
    <w:bookmarkStart w:id="31"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1"/>
    <w:bookmarkStart w:id="32"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2"/>
    <w:bookmarkStart w:id="33"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3"/>
    <w:bookmarkStart w:id="34"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4"/>
    <w:bookmarkEnd w:id="35"/>
    <w:bookmarkStart w:id="44"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6">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7">
        <w:r>
          <w:rPr>
            <w:rStyle w:val="Hyperlink"/>
          </w:rPr>
          <w:t xml:space="preserve">het taxonregister</w:t>
        </w:r>
      </w:hyperlink>
      <w:r>
        <w:t xml:space="preserve">.</w:t>
      </w:r>
    </w:p>
    <w:bookmarkStart w:id="38"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8"/>
    <w:bookmarkStart w:id="39"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9"/>
    <w:bookmarkStart w:id="40"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40"/>
    <w:bookmarkStart w:id="41" w:name="Xa66e2be297c2cf82b37e3e4b59e101c55a2b789"/>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1"/>
    <w:bookmarkStart w:id="42"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2"/>
    <w:bookmarkStart w:id="43"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3"/>
    <w:bookmarkEnd w:id="44"/>
    <w:bookmarkStart w:id="45"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5"/>
    <w:bookmarkStart w:id="52"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6"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bookmarkEnd w:id="46"/>
    <w:bookmarkStart w:id="47"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bookmarkEnd w:id="47"/>
    <w:bookmarkStart w:id="48"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8"/>
    <w:bookmarkStart w:id="49"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9"/>
    <w:bookmarkStart w:id="50"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50"/>
    <w:bookmarkStart w:id="51" w:name="Xdb7eb24e1743be4ba71117664c27cd530984820"/>
    <w:p>
      <w:pPr>
        <w:pStyle w:val="Heading4"/>
      </w:pPr>
      <w:r>
        <w:t xml:space="preserve">1.8.6. Jaarlijks luchtfotobeeld</w:t>
      </w:r>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bookmarkEnd w:id="51"/>
    <w:bookmarkEnd w:id="52"/>
    <w:bookmarkEnd w:id="53"/>
    <w:bookmarkStart w:id="61" w:name="X692b0a71312b2a939db271d079fb23757bfc15a"/>
    <w:p>
      <w:pPr>
        <w:pStyle w:val="BodyText"/>
      </w:pPr>
      <w:r>
        <w:rPr>
          <w:b/>
        </w:rPr>
        <w:t>Omvang en periode.</w:t>
      </w:r>
      <w:r>
        <w:t xml:space="preserve"> Kandidaatbron, niet in de levende database opgenomen. De uitgevoerde proef gebruikt tien officiële WMS-beelden: RGB en CIR voor 2016, 2020, 2022, 2023 en 2024. Elk beeld is op het gedeelde AHN-rooster samengesteld tot 3.440 bij 3.018 pixels van 2 meter. De brongeometrie bevat 55 vogelplots; na uitsluiting van M66 en M91 zijn 53 Natura 2000-plots geanalyseerd. De officiële 25-centimeterlagen bevatten geen RGB/CIR-paar voor 2021.</w:t>
      </w:r>
    </w:p>
    <w:p>
      <w:pPr>
        <w:pStyle w:val="BodyText"/>
      </w:pPr>
      <w:r>
        <w:rPr>
          <w:b/>
        </w:rPr>
        <w:t>Gebruik en grens.</w:t>
      </w:r>
      <w:r>
        <w:t xml:space="preserve"> De beperkte classificatieproef is uitgevoerd. De ruwe RGB/CIR-kenmerken behalen bij overdracht van 2020 naar 2023 macro-F1 0,469 en in omgekeerde richting 0,420; beide blijven onder de vooraf gekozen grens van 0,60. Radiometrische normalisatie en beeldtextuur verbeteren dit niet. De voorspelde houtige bedekking correleert in 24 afzonderlijk begrensde plots in 2022 wel met de onafhankelijke landbedekking, 0,743 tot 0,869, maar de gemiddelde absolute fout blijft 10,2 tot 10,6 procentpunt. Water en kaal zand zijn zonder pixelreferenties niet afzonderlijk gevalideerd. De kandidaatbron wordt daarom niet analyseklaar verklaard en niet tot een jaarlijkse reeks uitgebreid. Een vervolg vereist onafhankelijke trainingsvlakken of de oorspronkelijke classificatierasters. Luchtfoto's meten geen vegetatiehoogte, maken AHN1 niet vergelijkbaar en mogen niet rechtstreeks als causale verklaring van vogelverandering worden gebruikt.</w:t>
      </w:r>
    </w:p>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5"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4">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5"/>
    <w:bookmarkStart w:id="56"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6"/>
    <w:bookmarkStart w:id="57"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7"/>
    <w:bookmarkStart w:id="58"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8"/>
    <w:bookmarkStart w:id="59"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9"/>
    <w:bookmarkStart w:id="60"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60"/>
    <w:bookmarkEnd w:id="61"/>
    <w:bookmarkStart w:id="82"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8" w:name="Xd53aceb4d9e4863cdbb6367737be5e291cdac65"/>
    <w:p>
      <w:pPr>
        <w:pStyle w:val="Heading3"/>
      </w:pPr>
      <w:r>
        <w:t xml:space="preserve">Kandidaten met de grootste verwachte aanvulling</w:t>
      </w:r>
    </w:p>
    <w:bookmarkStart w:id="62"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2"/>
    <w:bookmarkStart w:id="63"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3"/>
    <w:bookmarkStart w:id="64"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4"/>
    <w:bookmarkStart w:id="66" w:name="X4578481a165cef1470f100d42a5e836ac7456f8"/>
    <w:p>
      <w:pPr>
        <w:pStyle w:val="Heading4"/>
      </w:pPr>
      <w:r>
        <w:t xml:space="preserve">3.4.</w:t>
      </w:r>
      <w:r>
        <w:t xml:space="preserve"> </w:t>
      </w:r>
      <w:hyperlink r:id="rId65">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6"/>
    <w:bookmarkStart w:id="68" w:name="X642992b46f3d655730973d9bd57c00f9c7aad9f"/>
    <w:p>
      <w:pPr>
        <w:pStyle w:val="Heading4"/>
      </w:pPr>
      <w:r>
        <w:t xml:space="preserve">3.5.</w:t>
      </w:r>
      <w:r>
        <w:t xml:space="preserve"> </w:t>
      </w:r>
      <w:hyperlink r:id="rId67">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8"/>
    <w:bookmarkStart w:id="70"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9">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70"/>
    <w:bookmarkStart w:id="72"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2"/>
    <w:bookmarkStart w:id="74"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3">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4"/>
    <w:bookmarkStart w:id="76"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5">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6"/>
    <w:bookmarkStart w:id="77"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7"/>
    <w:bookmarkEnd w:id="78"/>
    <w:bookmarkStart w:id="81"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79">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0">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 De geclassificeerde rasters zelf zitten</w:t>
      </w:r>
      <w:r>
        <w:t xml:space="preserve"> </w:t>
      </w:r>
      <w:r>
        <w:t xml:space="preserve">niet in het openbare supplement; de auteurs vermelden dat de gebruikte en</w:t>
      </w:r>
      <w:r>
        <w:t xml:space="preserve"> </w:t>
      </w:r>
      <w:r>
        <w:t xml:space="preserve">gemaakte datasets op verzoek verkrijgbaar zijn. Met die rasters zouden ook</w:t>
      </w:r>
      <w:r>
        <w:t xml:space="preserve"> </w:t>
      </w:r>
      <w:r>
        <w:t xml:space="preserve">ruimtelijke samenhang, versnippering, randen en vegetatiemozaïek kunnen worden</w:t>
      </w:r>
      <w:r>
        <w:t xml:space="preserve"> </w:t>
      </w:r>
      <w:r>
        <w:t xml:space="preserve">onderzocht. Het blijven twee momentopnamen binnen 25 plots; zij meten geen</w:t>
      </w:r>
      <w:r>
        <w:t xml:space="preserve"> </w:t>
      </w:r>
      <w:r>
        <w:t xml:space="preserve">jaarlijkse ontwikkeling, vegetatiehoogte, voedsel, nestgelegenheid of andere</w:t>
      </w:r>
      <w:r>
        <w:t xml:space="preserve"> </w:t>
      </w:r>
      <w:r>
        <w:t xml:space="preserve">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81"/>
    <w:bookmarkEnd w:id="82"/>
    <w:bookmarkStart w:id="83"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3"/>
    <w:bookmarkStart w:id="84"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4"/>
    <w:bookmarkStart w:id="85"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5"/>
    <w:bookmarkStart w:id="91"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6"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6"/>
    <w:bookmarkStart w:id="87"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7"/>
    <w:bookmarkStart w:id="88"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8"/>
    <w:bookmarkStart w:id="89"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9"/>
    <w:bookmarkStart w:id="90"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90"/>
    <w:bookmarkEnd w:id="91"/>
    <w:bookmarkStart w:id="99" w:name="achterliggende-verantwoording"/>
    <w:p>
      <w:pPr>
        <w:pStyle w:val="Heading2"/>
      </w:pPr>
      <w:r>
        <w:t xml:space="preserve">Achterliggende verantwoording</w:t>
      </w:r>
    </w:p>
    <w:p>
      <w:pPr>
        <w:pStyle w:val="Compact"/>
        <w:numPr>
          <w:ilvl w:val="0"/>
          <w:numId w:val="1005"/>
        </w:numPr>
      </w:pPr>
      <w:hyperlink r:id="rId92">
        <w:r>
          <w:rPr>
            <w:rStyle w:val="Hyperlink"/>
          </w:rPr>
          <w:t xml:space="preserve">NDFF-staging en bronvergelijking</w:t>
        </w:r>
      </w:hyperlink>
    </w:p>
    <w:p>
      <w:pPr>
        <w:pStyle w:val="Compact"/>
        <w:numPr>
          <w:ilvl w:val="0"/>
          <w:numId w:val="1005"/>
        </w:numPr>
      </w:pPr>
      <w:hyperlink r:id="rId93">
        <w:r>
          <w:rPr>
            <w:rStyle w:val="Hyperlink"/>
          </w:rPr>
          <w:t xml:space="preserve">NDFF-protocolaudit</w:t>
        </w:r>
      </w:hyperlink>
    </w:p>
    <w:p>
      <w:pPr>
        <w:pStyle w:val="Compact"/>
        <w:numPr>
          <w:ilvl w:val="0"/>
          <w:numId w:val="1005"/>
        </w:numPr>
      </w:pPr>
      <w:hyperlink r:id="rId94">
        <w:r>
          <w:rPr>
            <w:rStyle w:val="Hyperlink"/>
          </w:rPr>
          <w:t xml:space="preserve">Scheiding tussen Meijendel en Meijendel_bronnen</w:t>
        </w:r>
      </w:hyperlink>
    </w:p>
    <w:p>
      <w:pPr>
        <w:pStyle w:val="Compact"/>
        <w:numPr>
          <w:ilvl w:val="0"/>
          <w:numId w:val="1005"/>
        </w:numPr>
      </w:pPr>
      <w:hyperlink r:id="rId95">
        <w:r>
          <w:rPr>
            <w:rStyle w:val="Hyperlink"/>
          </w:rPr>
          <w:t xml:space="preserve">Ruimtelijke audit van contextbronnen</w:t>
        </w:r>
      </w:hyperlink>
    </w:p>
    <w:p>
      <w:pPr>
        <w:pStyle w:val="Compact"/>
        <w:numPr>
          <w:ilvl w:val="0"/>
          <w:numId w:val="1005"/>
        </w:numPr>
      </w:pPr>
      <w:hyperlink r:id="rId96">
        <w:r>
          <w:rPr>
            <w:rStyle w:val="Hyperlink"/>
          </w:rPr>
          <w:t xml:space="preserve">Importbesluit duinvalleivegetatie</w:t>
        </w:r>
      </w:hyperlink>
    </w:p>
    <w:p>
      <w:pPr>
        <w:pStyle w:val="Compact"/>
        <w:numPr>
          <w:ilvl w:val="0"/>
          <w:numId w:val="1005"/>
        </w:numPr>
      </w:pPr>
      <w:hyperlink r:id="rId97">
        <w:r>
          <w:rPr>
            <w:rStyle w:val="Hyperlink"/>
          </w:rPr>
          <w:t xml:space="preserve">Ruimtelijke bronlagen en toelatingsregels</w:t>
        </w:r>
      </w:hyperlink>
    </w:p>
    <w:p>
      <w:pPr>
        <w:pStyle w:val="Compact"/>
        <w:numPr>
          <w:ilvl w:val="0"/>
          <w:numId w:val="1005"/>
        </w:numPr>
      </w:pPr>
      <w:hyperlink r:id="rId98">
        <w:r>
          <w:rPr>
            <w:rStyle w:val="Hyperlink"/>
          </w:rPr>
          <w:t xml:space="preserve">Beveiligde NDFF-ontvangst</w:t>
        </w:r>
      </w:hyperlink>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gis/audit/externe_ecologie_fase1_2_manifest.json" TargetMode="External"/><Relationship Id="rId94" Type="http://schemas.openxmlformats.org/officeDocument/2006/relationships/hyperlink" Target="bronnen/MEIJENDEL_BRONNEN.md" TargetMode="External"/><Relationship Id="rId95" Type="http://schemas.openxmlformats.org/officeDocument/2006/relationships/hyperlink" Target="bronnen/audits/MEIJENDEL_BRONNEN_AUDIT.md" TargetMode="External"/><Relationship Id="rId93" Type="http://schemas.openxmlformats.org/officeDocument/2006/relationships/hyperlink" Target="bronnen/audits/NDFF_PROTOCOLAUDIT.md" TargetMode="External"/><Relationship Id="rId92" Type="http://schemas.openxmlformats.org/officeDocument/2006/relationships/hyperlink" Target="bronnen/bronvergelijkingen/NDFF_STAGINGDATASET.md" TargetMode="External"/><Relationship Id="rId96" Type="http://schemas.openxmlformats.org/officeDocument/2006/relationships/hyperlink" Target="bronnen/importbesluiten/DUINVALLEI_VEGETATIE.md" TargetMode="External"/><Relationship Id="rId97" Type="http://schemas.openxmlformats.org/officeDocument/2006/relationships/hyperlink" Target="bronnen/importbesluiten/MEIJENDEL_RUIMTELIJKE_LAGEN.md" TargetMode="External"/><Relationship Id="rId98" Type="http://schemas.openxmlformats.org/officeDocument/2006/relationships/hyperlink" Target="bronnen/importbesluiten/NDFF_SECURE_ONTVANGST.md" TargetMode="External"/><Relationship Id="rId37" Type="http://schemas.openxmlformats.org/officeDocument/2006/relationships/hyperlink" Target="database/TAXONREGISTER.md" TargetMode="External"/><Relationship Id="rId9" Type="http://schemas.openxmlformats.org/officeDocument/2006/relationships/hyperlink" Target="http://www.synbiosys.alterra.nl/turboveg/" TargetMode="External"/><Relationship Id="rId80" Type="http://schemas.openxmlformats.org/officeDocument/2006/relationships/hyperlink" Target="https://doi.org/10.1007/s10531-025-03175-x" TargetMode="External"/><Relationship Id="rId73" Type="http://schemas.openxmlformats.org/officeDocument/2006/relationships/hyperlink" Target="https://doi.org/10.1371/journal.pone.0099852" TargetMode="External"/><Relationship Id="rId16" Type="http://schemas.openxmlformats.org/officeDocument/2006/relationships/hyperlink" Target="https://doi.org/10.15468/adsbxs" TargetMode="External"/><Relationship Id="rId75" Type="http://schemas.openxmlformats.org/officeDocument/2006/relationships/hyperlink" Target="https://doi.org/10.17026/DANS-28X-UT8Q" TargetMode="External"/><Relationship Id="rId71" Type="http://schemas.openxmlformats.org/officeDocument/2006/relationships/hyperlink" Target="https://doi.org/10.5061/dryad.8cz8w9gnc" TargetMode="External"/><Relationship Id="rId54" Type="http://schemas.openxmlformats.org/officeDocument/2006/relationships/hyperlink" Target="https://doi.org/10.5281/zenodo.21796880" TargetMode="External"/><Relationship Id="rId69" Type="http://schemas.openxmlformats.org/officeDocument/2006/relationships/hyperlink" Target="https://doi.org/10.6084/m9.figshare.25425601.v1" TargetMode="External"/><Relationship Id="rId67" Type="http://schemas.openxmlformats.org/officeDocument/2006/relationships/hyperlink" Target="https://repository.naturalis.nl/pub/317221" TargetMode="External"/><Relationship Id="rId65" Type="http://schemas.openxmlformats.org/officeDocument/2006/relationships/hyperlink" Target="https://repository.naturalis.nl/pub/317242" TargetMode="External"/><Relationship Id="rId79" Type="http://schemas.openxmlformats.org/officeDocument/2006/relationships/hyperlink" Target="https://www.ahn.nl/dataroom"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gis/audit/externe_ecologie_fase1_2_manifest.json" TargetMode="External"/><Relationship Id="rId94" Type="http://schemas.openxmlformats.org/officeDocument/2006/relationships/hyperlink" Target="bronnen/MEIJENDEL_BRONNEN.md" TargetMode="External"/><Relationship Id="rId95" Type="http://schemas.openxmlformats.org/officeDocument/2006/relationships/hyperlink" Target="bronnen/audits/MEIJENDEL_BRONNEN_AUDIT.md" TargetMode="External"/><Relationship Id="rId93" Type="http://schemas.openxmlformats.org/officeDocument/2006/relationships/hyperlink" Target="bronnen/audits/NDFF_PROTOCOLAUDIT.md" TargetMode="External"/><Relationship Id="rId92" Type="http://schemas.openxmlformats.org/officeDocument/2006/relationships/hyperlink" Target="bronnen/bronvergelijkingen/NDFF_STAGINGDATASET.md" TargetMode="External"/><Relationship Id="rId96" Type="http://schemas.openxmlformats.org/officeDocument/2006/relationships/hyperlink" Target="bronnen/importbesluiten/DUINVALLEI_VEGETATIE.md" TargetMode="External"/><Relationship Id="rId97" Type="http://schemas.openxmlformats.org/officeDocument/2006/relationships/hyperlink" Target="bronnen/importbesluiten/MEIJENDEL_RUIMTELIJKE_LAGEN.md" TargetMode="External"/><Relationship Id="rId98" Type="http://schemas.openxmlformats.org/officeDocument/2006/relationships/hyperlink" Target="bronnen/importbesluiten/NDFF_SECURE_ONTVANGST.md" TargetMode="External"/><Relationship Id="rId37" Type="http://schemas.openxmlformats.org/officeDocument/2006/relationships/hyperlink" Target="database/TAXONREGISTER.md" TargetMode="External"/><Relationship Id="rId9" Type="http://schemas.openxmlformats.org/officeDocument/2006/relationships/hyperlink" Target="http://www.synbiosys.alterra.nl/turboveg/" TargetMode="External"/><Relationship Id="rId80" Type="http://schemas.openxmlformats.org/officeDocument/2006/relationships/hyperlink" Target="https://doi.org/10.1007/s10531-025-03175-x" TargetMode="External"/><Relationship Id="rId73" Type="http://schemas.openxmlformats.org/officeDocument/2006/relationships/hyperlink" Target="https://doi.org/10.1371/journal.pone.0099852" TargetMode="External"/><Relationship Id="rId16" Type="http://schemas.openxmlformats.org/officeDocument/2006/relationships/hyperlink" Target="https://doi.org/10.15468/adsbxs" TargetMode="External"/><Relationship Id="rId75" Type="http://schemas.openxmlformats.org/officeDocument/2006/relationships/hyperlink" Target="https://doi.org/10.17026/DANS-28X-UT8Q" TargetMode="External"/><Relationship Id="rId71" Type="http://schemas.openxmlformats.org/officeDocument/2006/relationships/hyperlink" Target="https://doi.org/10.5061/dryad.8cz8w9gnc" TargetMode="External"/><Relationship Id="rId54" Type="http://schemas.openxmlformats.org/officeDocument/2006/relationships/hyperlink" Target="https://doi.org/10.5281/zenodo.21796880" TargetMode="External"/><Relationship Id="rId69" Type="http://schemas.openxmlformats.org/officeDocument/2006/relationships/hyperlink" Target="https://doi.org/10.6084/m9.figshare.25425601.v1" TargetMode="External"/><Relationship Id="rId67" Type="http://schemas.openxmlformats.org/officeDocument/2006/relationships/hyperlink" Target="https://repository.naturalis.nl/pub/317221" TargetMode="External"/><Relationship Id="rId65" Type="http://schemas.openxmlformats.org/officeDocument/2006/relationships/hyperlink" Target="https://repository.naturalis.nl/pub/317242" TargetMode="External"/><Relationship Id="rId79" Type="http://schemas.openxmlformats.org/officeDocument/2006/relationships/hyperlink" Target="https://www.ahn.nl/dataro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2026-10-12T09:28:02Z</dcterms:created>
  <dcterms:modified xsi:type="dcterms:W3CDTF">2026-10-12T09:28:02Z</dcterms:modified>
</cp:coreProperties>
</file>

<file path=docProps/custom.xml><?xml version="1.0" encoding="utf-8"?>
<Properties xmlns="http://schemas.openxmlformats.org/officeDocument/2006/custom-properties" xmlns:vt="http://schemas.openxmlformats.org/officeDocument/2006/docPropsVTypes"/>
</file>