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19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r>
        <w:t xml:space="preserve"> 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rPr>
        <w:t xml:space="preserve">Bronbericht provincie, vastgelegd 19 oktober 2026. </w:t>
      </w:r>
      <w:r>
        <w:t>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r>
        <w:t>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r>
        <w:t>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meijendel_nameninventaris_2026-10-14</w:t>
      </w:r>
      <w:r>
        <w:t xml:space="preserve"> </w:t>
      </w:r>
      <w:r>
        <w:t>toegevoegd en blijft voor deze twee historische contouren een eigen maatregelgeometrie achterwege.</w:t>
      </w:r>
      <w:r/>
      <w:r>
        <w:rPr>
          <w:rStyle w:val="VerbatimChar"/>
        </w:rPr>
      </w:r>
      <w:r/>
      <w:r>
        <w:t xml:space="preserv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r>
        <w:t xml:space="preserve"> 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