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29</w:t>
            </w:r>
          </w:p>
        </w:tc>
        <w:tc>
          <w:tcPr/>
          <w:p>
            <w:pPr>
              <w:pStyle w:val="Compact"/>
            </w:pPr>
            <w:r>
              <w:t xml:space="preserve">22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100</w:t>
            </w:r>
          </w:p>
        </w:tc>
        <w:tc>
          <w:tcPr/>
          <w:p>
            <w:pPr>
              <w:pStyle w:val="Compact"/>
            </w:pPr>
            <w:r>
              <w:t xml:space="preserve">Letterlijk onderbouwde jaarstatussen uit 1967–2025: 84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82</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95</w:t>
            </w:r>
          </w:p>
        </w:tc>
        <w:tc>
          <w:tcPr/>
          <w:p>
            <w:pPr>
              <w:pStyle w:val="Compact"/>
            </w:pPr>
            <w:r>
              <w:t xml:space="preserve">36 eerder onderbouwde relaties, 32 geometrische naam–kavelrelaties voor zes uitvoeringen, 11 aanvullende relaties voor de volledige systemen Pan 13 en Plas 20, 3 relaties voor de sinds 1991 doorlopende begrazing van Helmduinen, 3 relaties voor de sinds eind 1997 doorlopende begrazing van de Kikkervalleien, 3 relaties voor het eenmalige bodem- en vegetatieherstel in 1997, 3 relaties voor het verwijderen van leidingen en putten van Sprang PI en I in 1997, 3 relaties voor Watercrassulabestrijding in de Kikkervallei en 1 gebruikersvastgestelde relatie voor Parnassiapad 2 in M15; het exacte werkoppervlak per kavel en dus het doorsnijdingspercentage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145</w:t>
            </w:r>
          </w:p>
        </w:tc>
        <w:tc>
          <w:tcPr/>
          <w:p>
            <w:pPr>
              <w:pStyle w:val="Compact"/>
            </w:pPr>
            <w:r>
              <w:t xml:space="preserve">Bronvaste plot-jaarregels voor expliciet benoemde kavels en gevalideerde gebiedsnamen in 1967–1969, 1972–1975, 1988–1991, 1993, 1997, 2005–2006 en 2017–2025. Voor doorlopende begrazing bevat de view het expliciet onderbouwde startjaar; voortzetting tot en met 2026 staat in status, open einddatum en cycliciteit.</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2026-10-14T20:48:39Z</dcterms:created>
  <dcterms:modified xsi:type="dcterms:W3CDTF">2026-10-14T20:48:39Z</dcterms:modified>
</cp:coreProperties>
</file>

<file path=docProps/custom.xml><?xml version="1.0" encoding="utf-8"?>
<Properties xmlns="http://schemas.openxmlformats.org/officeDocument/2006/custom-properties" xmlns:vt="http://schemas.openxmlformats.org/officeDocument/2006/docPropsVTypes"/>
</file>