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BodyText"/>
      </w:pPr>
      <w:r>
        <w:rPr>
          <w:b/>
        </w:rPr>
        <w:t>Stand: 28 september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rPr>
          <w:b/>
        </w:rPr>
        <w:t>Taxonomisch register aangevuld en gericht opgeschoond, stand 28 september 2026.</w:t>
      </w:r>
      <w:r>
        <w:t xml:space="preserve"> De levende lokale database bevat nu 27 praktische groepen en 15.577 naamgebruiken en referenties. Daarvan zijn 14.660 registraties aan hun oorspronkelijke bron gebonden; 917 zijn gedeelde externe naamreferenties. Alle 18.437 oorspronkelijke bronbesluiten zijn behouden: 18.350 actieve besluiten en 87 bewaarde eerdere versies. Daarnaast zijn drie technische doorverwijzingen voor samengevoegde identificaties vastgelegd.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rPr>
        <w:t>Gerichte taxonfusie, 28 september 2026.</w:t>
      </w:r>
      <w:r>
        <w:t xml:space="preserve"> Vijf naamregistraties van Rhantus frontalis en Haliplus ruficollis uit dezelfde Naturalis-keverlevering van 24 september 2026 zijn tot twee centrale records teruggebracht. De bronwaarden verschillen uitsluitend in subgenusnotatie; de overige taxonvelden en broncontext zijn gelijk. Alle oorspronkelijke waarden en bronkoppelingnummers zijn behouden en oude taxonnummers en UUIDs blijven herleidbaar. De meetrecords, perioden, locatiekwaliteit, rechten en analysegeschiktheid zijn niet veranderd. Volledige back-up, fusieproef, terugdraaien, volledig herstel en nacontrole zijn geslaagd. De overige 251 tabellen en alle 16 viewuitkomsten zijn ongewijzigd. Er is niets naar de VPS gepubliceerd. Er blijven 1.812 groepen met dezelfde wetenschappelijke naam; die zijn niet zonder verdere beoordeling als dubbelen te verwijderen. Selectie, onderbouwing en herstelbewijs staan in docs/database/TAXONREGISTER.md.</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Er blijven 278 beoordeelde registraties zonder primaire groep. Bij 116 ontbreekt de onderbouwing voor de scheiding schimmels/korstmossen; bij 53 bevat een alternatieve naamtreffer onvolledige of afwijkende groepsinformatie; bij 50 ontbreekt een exacte referentienaam; bij 39 is de vertaling naar de lokale groepen niet eenduidig. Verder gaat het om acht verzamel- of onvolledig gedetermineerde begrippen, vijf slijmzwammen die niet bij de huidige groepsomschrijving passen, vier afwijkende naamnotaties en drie niet verder ingedeelde vlinderregistraties. Deze gegevens blijven bewaard. Een nauwkeuriger indeling vereist gerichte onderbouwing; een geforceerde keuze zou het register minder betrouwbaar maken.</w:t>
      </w:r>
    </w:p>
    <w:p>
      <w:pPr/>
      <w:r>
        <w:t>Twee actieve bronvermeldingen blijven zonder doeltaxon: Naturalis-Indet. benoemt geen taxon; bij Toendrarietgans ontbreekt de wetenschappelijke bronnaam en strookt lokale code 1582 niet met de actuele EURING-code 01574. De 263 oorspronkelijke vogelnaamgebruiken en hun koppelingen zijn ongewijzigd. Alle 249 overige tabellen en bijbehorende databaseobjecten zijn vóór en na de aanvulling identiek. Website, dashboard en Shiny zijn niet aangepast. De veilige registeraanvulling is uitgevoerd en gecontroleerd met een terugdraaiproef en nacontrole. Details en herstelbewijs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BodyText"/>
      </w:pPr>
      <w:r>
        <w:rPr>
          <w:b/>
        </w:rPr>
        <w:t>PQ-integratie, 27–28 september 2026.</w:t>
      </w:r>
      <w:r>
        <w:t xml:space="preserve"> 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BodyText"/>
      </w:pPr>
      <w:r>
        <w:rPr>
          <w:b/>
        </w:rPr>
        <w:t>Vangblik-opschoning, 28 september 2026.</w:t>
      </w:r>
      <w:r>
        <w:t xml:space="preserve"> De 60.560 vangstregels uit 1953–1960 zijn lokaal rechtstreeks verbonden met het centrale taxonregister. De 275 oorspronkelijke taxonvermeldingen zijn daar met alle bronvelden behouden; de afzonderlijke tabel vangblik_soorten 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bookmarkEnd w:id="38"/>
    <w:bookmarkStart w:id="39" w:name="Xa66e2be297c2cf82b37e3e4b59e101c55a2b789"/>
    <w:p>
      <w:pPr>
        <w:pStyle w:val="BodyText"/>
      </w:pPr>
      <w:r>
        <w:rPr>
          <w:b/>
        </w:rPr>
        <w:t>Overlap en gebruik.</w:t>
      </w:r>
      <w:r>
        <w:t xml:space="preserve"> 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rPr>
        <w:t>PQ-broncontrole, 27 september 2026.</w:t>
      </w:r>
      <w:r>
        <w:t xml:space="preserve"> 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 gis/scripts/run_external_ecology_overlap_audit.py --pq-inventarisatie. Uitvoeringsbewijs en gecontroleerde herstelback-up staan lokaal onder outputs/pq-integratie.</w:t>
      </w:r>
    </w:p>
    <w:p>
      <w:pPr>
        <w:pStyle w:val="BodyText"/>
      </w:pPr>
      <w:r>
        <w:rPr>
          <w:b/>
        </w:rPr>
        <w:t>Taxonomische importbeperking, vastgesteld 27 september 2026.</w:t>
      </w:r>
      <w:r>
        <w:t xml:space="preserve"> De oorspronkelijke import gebruikte bij alle 81.310 toegelaten LVD-resultaten (1959–2015; 998 verschillende naamstrings) een status als taxonrang: 81.285 keer accepted en 25 keer synonym. De oorspronkelijke status blijft ook in de bronmetadata bewaard. Bij de 16.627 verplaatste resultaten heet dit veld nu taxonomische_status_aangeleverd; hun werkelijke taxonrang komt uit het centrale register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 docs/database/TAXONREGISTER.md voor model, controles en herstelwijze.</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bookmarkEnd w:id="53"/>
    <w:bookmarkStart w:id="54" w:name="Xb3fdc40884db1bbf06132e666e117a731445140"/>
    <w:p>
      <w:pPr>
        <w:pStyle w:val="BodyText"/>
      </w:pPr>
      <w:r>
        <w:rPr>
          <w:b/>
        </w:rPr>
        <w:t>Waarde en beperking.</w:t>
      </w:r>
      <w:r>
        <w:t xml:space="preserve"> Historische vogelcontext. Zonder locatie per regel geen kavel- of ruimtelijke analyse. Het productieoverzicht van 28 september 2026 toont daarnaast een bestaande tabel vogelstand_1924 buiten de canonieke export. Deze blijft tijdens de PQ-publicatie onaangetast; haar aanwezigheid geeft geen nieuwe analysetoestemming. Dit schema-overzicht bewijst de tabelnaam en het type, niet haar actuele rijtelling.</w:t>
      </w:r>
    </w:p>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bookmarkEnd w:id="82"/>
    <w:bookmarkStart w:id="83" w:name="Xa67120beb48c3916f8a53c623f303ce8b8a6005"/>
    <w:p>
      <w:pPr>
        <w:pStyle w:val="BodyText"/>
      </w:pPr>
      <w:r>
        <w:rPr>
          <w:b/>
        </w:rPr>
        <w:t>Landelijke Vegetatie Databank: uitgevoerd voor de reproduceerbare bronversie 1.6.</w:t>
      </w:r>
      <w:r>
        <w:t xml:space="preserve"> 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 Meijendel_bronnen.</w:t>
      </w:r>
    </w:p>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