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16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pPr>
              <w:pStyle w:val="Compact"/>
              <w:jc w:val="right"/>
            </w:pPr>
            <w:r>
              <w:t xml:space="preserve">43</w:t>
            </w:r>
          </w:p>
        </w:tc>
        <w:tc>
          <w:tcPr/>
          <w:p>
            <w:pPr>
              <w:pStyle w:val="Compact"/>
            </w:pPr>
            <w:r>
              <w:t xml:space="preserve">28 lokaal geraadpleegde Zotero-bronnen en vijftien officiële of institutionele internetbronnen, ieder met type, datum, status en raadpleegdatum.</w:t>
            </w:r>
            <w:r>
              <w:t xml:space="preserve"> </w:t>
            </w:r>
            <w:r>
              <w:rPr>
                <w:i/>
                <w:iCs/>
              </w:rPr>
              <w:t xml:space="preserve">Holland’s Duinen</w:t>
            </w:r>
            <w:r>
              <w:t xml:space="preserve"> </w:t>
            </w:r>
            <w:r>
              <w:t xml:space="preserve">63 en 64 en HAR 1204 onderbouwen de plaggebieden Elleboogsprang, Helmduinen, Vinkenhoek en Meeuwenduin. KIWA Mededeling 114 lokaliseert infiltratieplas 27.2; de officiële PIM-bijlage uit 2013 beschrijft de werkzaamheden en werkperiode. De gemeentelijke objectinventaris en de actuele PDOK-Kadastrale Kaart identificeren landgoed Weiduin en het gekoppelde perceel Wassenaar H 2889.</w:t>
            </w:r>
          </w:p>
        </w:tc>
      </w:tr>
      <w:tr>
        <w:tc>
          <w:tcPr/>
          <w:p>
            <w:pPr>
              <w:pStyle w:val="Compact"/>
            </w:pPr>
            <w:r>
              <w:rPr>
                <w:rStyle w:val="VerbatimChar"/>
              </w:rPr>
              <w:t xml:space="preserve">maatregel_uitvoering</w:t>
            </w:r>
          </w:p>
        </w:tc>
        <w:tc>
          <w:tcPr/>
          <w:p>
            <w:pPr>
              <w:pStyle w:val="Compact"/>
              <w:jc w:val="right"/>
            </w:pPr>
            <w:r>
              <w:t xml:space="preserve">64</w:t>
            </w:r>
          </w:p>
        </w:tc>
        <w:tc>
          <w:tcPr/>
          <w:p>
            <w:pPr>
              <w:pStyle w:val="Compact"/>
            </w:pPr>
            <w:r>
              <w:t xml:space="preserve">Afzonderlijke werkzaamheden of expliciet niet-uitgevoerde, onbekende of geplande activiteiten. Infiltratieplas 27.2 is los van de programmabrede pannenuitvoering geregistreerd, zodat het totale volume van 370.000 m3 niet aan deze plas wordt toegeschreven.</w:t>
            </w:r>
          </w:p>
        </w:tc>
      </w:tr>
      <w:tr>
        <w:tc>
          <w:tcPr/>
          <w:p>
            <w:pPr>
              <w:pStyle w:val="Compact"/>
            </w:pPr>
            <w:r>
              <w:rPr>
                <w:rStyle w:val="VerbatimChar"/>
              </w:rPr>
              <w:t xml:space="preserve">maatregel_uitvoering_jaar</w:t>
            </w:r>
          </w:p>
        </w:tc>
        <w:tc>
          <w:tcPr/>
          <w:p>
            <w:pPr>
              <w:pStyle w:val="Compact"/>
              <w:jc w:val="right"/>
            </w:pPr>
            <w:r>
              <w:t xml:space="preserve">104</w:t>
            </w:r>
          </w:p>
        </w:tc>
        <w:tc>
          <w:tcPr/>
          <w:p>
            <w:pPr>
              <w:pStyle w:val="Compact"/>
            </w:pPr>
            <w:r>
              <w:t xml:space="preserve">Letterlijk onderbouwde jaarstatussen uit 1967–2026: 88 uitgevoerd, 9 niet uitgevoerd en 7 onbekend.</w:t>
            </w:r>
          </w:p>
        </w:tc>
      </w:tr>
      <w:tr>
        <w:tc>
          <w:tcPr/>
          <w:p>
            <w:pPr>
              <w:pStyle w:val="Compact"/>
            </w:pPr>
            <w:r>
              <w:rPr>
                <w:rStyle w:val="VerbatimChar"/>
              </w:rPr>
              <w:t xml:space="preserve">maatregel_uitvoering_bron</w:t>
            </w:r>
          </w:p>
        </w:tc>
        <w:tc>
          <w:tcPr/>
          <w:p>
            <w:pPr>
              <w:pStyle w:val="Compact"/>
              <w:jc w:val="right"/>
            </w:pPr>
            <w:r>
              <w:t xml:space="preserve">99</w:t>
            </w:r>
          </w:p>
        </w:tc>
        <w:tc>
          <w:tcPr/>
          <w:p>
            <w:pPr>
              <w:pStyle w:val="Compact"/>
            </w:pPr>
            <w:r>
              <w:t xml:space="preserve">Relaties tussen uitvoering en bewijsbron, met bronrol en bewijsnotitie. De PIM-winputten verwijzen voor ruimtelijke plancontext naar HAR 1306. De plagwerkzaamheden verwijzen aanvullend naar</w:t>
            </w:r>
            <w:r>
              <w:t xml:space="preserve"> </w:t>
            </w:r>
            <w:r>
              <w:rPr>
                <w:i/>
                <w:iCs/>
              </w:rPr>
              <w:t xml:space="preserve">Holland’s Duinen</w:t>
            </w:r>
            <w:r>
              <w:t xml:space="preserve"> </w:t>
            </w:r>
            <w:r>
              <w:t xml:space="preserve">63 en 64 en HAR 1204. De uitvoering bij infiltratieplas 27.2 verwijst naar de officiële PIM-bijlage, KIWA Mededeling 114 en Dunea’s afrondingsbericht uit 2018; Weiduin is gekoppeld aan de gemeentelijke objectinventaris en de actuele PDOK-Kadastrale Kaart.</w:t>
            </w:r>
          </w:p>
        </w:tc>
      </w:tr>
      <w:tr>
        <w:tc>
          <w:tcPr/>
          <w:p>
            <w:pPr>
              <w:pStyle w:val="Compact"/>
            </w:pPr>
            <w:r>
              <w:rPr>
                <w:rStyle w:val="VerbatimChar"/>
              </w:rPr>
              <w:t xml:space="preserve">maatregel_uitvoering_plotscope</w:t>
            </w:r>
          </w:p>
        </w:tc>
        <w:tc>
          <w:tcPr/>
          <w:p>
            <w:pPr>
              <w:pStyle w:val="Compact"/>
              <w:jc w:val="right"/>
            </w:pPr>
            <w:r>
              <w:t xml:space="preserve">3</w:t>
            </w:r>
          </w:p>
        </w:tc>
        <w:tc>
          <w:tcPr/>
          <w:p>
            <w:pPr>
              <w:pStyle w:val="Compact"/>
            </w:pPr>
            <w:r>
              <w:t xml:space="preserve">Expliciete beoordeling of een uitvoering binnen de 55 Meijendel-plots valt. De Bendel-herinrichting, het Bendel-nabeheer en de begrazing van landgoed Weiduin zijn geverifieerd als</w:t>
            </w:r>
            <w:r>
              <w:t xml:space="preserve"> </w:t>
            </w:r>
            <w:r>
              <w:rPr>
                <w:rStyle w:val="VerbatimChar"/>
              </w:rPr>
              <w:t xml:space="preserve">buiten_meijendel_plotgebied</w:t>
            </w:r>
            <w:r>
              <w:t xml:space="preserve">. Het actuele perceel Wassenaar H 2889 doorsnijdt geen plot; M85 ligt op 226,5 meter.</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 xml:space="preserve">208</w:t>
            </w:r>
          </w:p>
        </w:tc>
        <w:tc>
          <w:tcPr/>
          <w:p>
            <w:pPr>
              <w:pStyle w:val="Compact"/>
            </w:pPr>
            <w:r>
              <w:t xml:space="preserve">De programmabrede plagwerkzaamheden zijn gekoppeld aan acht unieke kavels: M10-12-76, M12a, M15, M16, M71, M73, M74 en M75. Elleboogsprang raakt M10-12-76 en M75; Vinkenhoek ligt in M71. Helmduinen is gekoppeld aan M15 en M16; M17a is retroactief verwijderd. Meeuwenduin en Prinsenduin hebben samen zeven relaties. Het maaibeheer in Ruygenhoek, Lange Strook en De Loopert heeft vijf relaties. Maatregel 22h heeft zes relaties. De jaarlijkse begrazing van Vallei Meijendel is gekoppeld aan de negen actuele kavels M3, M4-5, M51, M52, M53, M54a, M54b, M55 en M85; de historische voorgangers M4, M5 en M54 zijn uitgesloten. Maatregel 3c voegt voor dezelfde negen actuele kavels en voor M1a, M1b, M45 en M83 samen dertien relaties toe. Maatregel 3d is gekoppeld aan M13s, M15, M16, M17a en M78/79. De in 2025 vervangen slagbomen tussen P1 Kievietsduin en de parkeerterreinen in De Vallei zijn gekoppeld aan M55 en M85. Het onderzochte maar niet uitgevoerde PAS-maaibeheer 23 is als zoekgebied gekoppeld aan tien kavels: M10-12-76, M12a, M62, M63, M64, M65, M72, M73, M74 en M75. Het PIM-leidingwerk heeft zeven relaties: M41, M42, M43, M45, M84, M84s en M85. De PIM-winputten hebben 22 relaties: M1a, M1b, M3, M6, M10-12-76, M12a, M14, M15, M16, M16s, M17a, M17b, M31, M32, M33, M36, M41, M43, M45, M55, M62 en M83. Het nabeheer van de vijf kerven in 2016 en 2024 is gekoppeld aan M16 en M17a. Infiltratieplas 27.2 is gekoppeld aan M77. De precieze werkvoetafdrukken zijn niet gepubliceerd; de doorsnijdingspercentages blijven leeg.</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 xml:space="preserve">301</w:t>
            </w:r>
          </w:p>
        </w:tc>
        <w:tc>
          <w:tcPr/>
          <w:p>
            <w:pPr>
              <w:pStyle w:val="Compact"/>
            </w:pPr>
            <w:r>
              <w:t xml:space="preserve">Bronvaste plot-jaarregels voor 1967–1969, 1972–1975, 1988–1991, 1993, 1997, 2002, 2005–2006, 2013–2014 en 2016–2025. De programmabrede plagwerkzaamheden leveren acht scoperegels voor 2018; de bron verdeelt de bijna 40 hectare en 100.000 m³ zand niet per gebied of kavel. Maatregel 3c levert 65 scoperegels voor dertien kavels in 2017–2021; de bron verdeelt de 110 hectare niet per gebied, kavel of jaar. Maatregel 3d levert voor vijf kavels telkens vijf scoperegels in 2021 en 2025; voor het niet-uitgevoerde jaar 2020 ontstaat geen plot-jaarrij. De slagboomvervanging levert twee regels voor M55 en M85 in 2025. Infiltratieplas 27.2 levert voor M77 één regel in 2013 en één in 2014. Het PIM-leidingwerk levert zeven scoperegels voor 2018; de bron verdeelt de lengte niet per kavel. De PIM-winputten leveren 22 scoperegels voor 2018; het programmatotaal van bijna 700 putten is niet per kavel verdeeld. Het kervennabeheer levert vier scoperegels: M16 en M17a in 2016 en 2024.</w:t>
            </w:r>
          </w:p>
        </w:tc>
      </w:tr>
    </w:tbl>
    <w:p>
      <w:pPr>
        <w:pStyle w:val="FirstParagraph"/>
      </w:pPr>
      <w:r>
        <w:t xml:space="preserve">De vier nieuwe plotrelaties bij de programmabrede pannenmaatregel betreffen M6, M7, M13 en M77. Het beheerplan 2016–2022 koppelt de PIM-oeveraanpassingen aan Tafelberg en ’t Scheepje; de actuele nameninventaris verbindt deze namen met de vier kavels. Zij leveren vier extra scoperegels voor 2018. De door Dunea gemelde 370.000 m3 verwijderd materiaal is niet per plas of kavel verdeeld en mag daarom niet uit deze vier regels worden afgeleid.</w:t>
      </w:r>
    </w:p>
    <w:p>
      <w:pPr>
        <w:pStyle w:val="BodyText"/>
      </w:pPr>
      <w:r>
        <w:t xml:space="preserve">Voor de programmabrede plagwerkzaamheden zijn de contouren uit HAR 1204 met de gepubliceerde schaal en RD-kilometerhokken op de actuele kavelgeometrie gelegd. Dit lokaliseert Elleboogsprang in M10-12-76 en M75 en Vinkenhoek in M71. De gereconstrueerde Vinkenhoek-contour is circa 8,3 hectare, tegenover circa 8 hectare in de publicatie. De kaart is voldoende voor kaveltoedeling, maar niet voor een exact uitvoeringspercentage. Daarom blijven</w:t>
      </w:r>
      <w:r>
        <w:t xml:space="preserve"> </w:t>
      </w:r>
      <w:r>
        <w:rPr>
          <w:rStyle w:val="VerbatimChar"/>
        </w:rPr>
        <w:t xml:space="preserve">maatregel_geometrie</w:t>
      </w:r>
      <w:r>
        <w:t xml:space="preserve"> </w:t>
      </w:r>
      <w:r>
        <w:t xml:space="preserve">en alle acht</w:t>
      </w:r>
      <w:r>
        <w:t xml:space="preserve"> </w:t>
      </w:r>
      <w:r>
        <w:rPr>
          <w:rStyle w:val="VerbatimChar"/>
        </w:rPr>
        <w:t xml:space="preserve">doorsnijding_pct</w:t>
      </w:r>
      <w:r>
        <w:t xml:space="preserve">-waarden leeg.</w:t>
      </w:r>
    </w:p>
    <w:p>
      <w:pPr>
        <w:pStyle w:val="BodyText"/>
      </w:pPr>
      <w:r>
        <w:t xml:space="preserve">De PIM-winputten zijn met afbeelding 1 en bijlage 2 van HAR 1306 ruimtelijk beoordeeld. De twintig duidelijke doorsnijdingen en de door Ton bevestigde grensdoorsnijdingen M16 en M62 leveren samen 22 unieke kavelrelaties. M10-12-76 wordt één keer gekoppeld, hoewel zowel serie HH als de rand van serie WW deze kavel raakt. HAR 1306 is plancontext; Dunea bevestigt afzonderlijk de afronding van bijna 700 nieuwe putten in 2018. Zonder afzonderlijke putpunten of verdeling per serie blijven</w:t>
      </w:r>
      <w:r>
        <w:t xml:space="preserve"> </w:t>
      </w:r>
      <w:r>
        <w:rPr>
          <w:rStyle w:val="VerbatimChar"/>
        </w:rPr>
        <w:t xml:space="preserve">maatregel_geometrie</w:t>
      </w:r>
      <w:r>
        <w:t xml:space="preserve"> </w:t>
      </w:r>
      <w:r>
        <w:t xml:space="preserve">en alle 22</w:t>
      </w:r>
      <w:r>
        <w:t xml:space="preserve"> </w:t>
      </w:r>
      <w:r>
        <w:rPr>
          <w:rStyle w:val="VerbatimChar"/>
        </w:rPr>
        <w:t xml:space="preserve">doorsnijding_pct</w:t>
      </w:r>
      <w:r>
        <w:t xml:space="preserve">-waarden leeg.</w:t>
      </w:r>
    </w:p>
    <w:p>
      <w:pPr>
        <w:pStyle w:val="BodyText"/>
      </w:pPr>
      <w:r>
        <w:t xml:space="preserve">Het ontwerpbeheerplan bevestigt het nabeheer van de Meijendelse kerven en stuifkuilen in 2016 en 2024. De publicatie uit 2017 lokaliseert de vijf bestaande kerven in de uitgevoerde zuidelijke zone van 750 meter ten zuiden van de bunker bij het Parnassiapad, maar vermeldt dat tot het voorjaar van 2017 nog geen nabeheer nodig was. Die publicatie heeft voor deze uitvoering daarom de rol</w:t>
      </w:r>
      <w:r>
        <w:t xml:space="preserve"> </w:t>
      </w:r>
      <w:r>
        <w:rPr>
          <w:rStyle w:val="VerbatimChar"/>
        </w:rPr>
        <w:t xml:space="preserve">plancontext</w:t>
      </w:r>
      <w:r>
        <w:t xml:space="preserve">. Vergelijking van deze ligging met de gereconstrueerde Parnassiapad-route en de actuele plotgeometrie, gevolgd door Tons bevestiging op 16 oktober 2026, koppelt het nabeheer aan M16 en M17a. De werkvoetafdruk per jaar is niet gepubliceerd; beide</w:t>
      </w:r>
      <w:r>
        <w:t xml:space="preserve"> </w:t>
      </w:r>
      <w:r>
        <w:rPr>
          <w:rStyle w:val="VerbatimChar"/>
        </w:rPr>
        <w:t xml:space="preserve">doorsnijding_pct</w:t>
      </w:r>
      <w:r>
        <w:t xml:space="preserve">-waarden blijven leeg.</w:t>
      </w:r>
    </w:p>
    <w:p>
      <w:pPr>
        <w:pStyle w:val="BodyText"/>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bij de actualisering tot en met 16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nameninventaris_import</w:t>
            </w:r>
          </w:p>
        </w:tc>
        <w:tc>
          <w:tcPr/>
          <w:p>
            <w:pPr>
              <w:pStyle w:val="Compact"/>
              <w:jc w:val="right"/>
            </w:pPr>
            <w:r>
              <w:t xml:space="preserve">1</w:t>
            </w:r>
          </w:p>
        </w:tc>
        <w:tc>
          <w:tcPr/>
          <w:p>
            <w:pPr>
              <w:pStyle w:val="Compact"/>
            </w:pPr>
            <w:r>
              <w:t xml:space="preserve">Herkomst, hash, regelversie en verwachte aantallen van de levering.</w:t>
            </w:r>
          </w:p>
        </w:tc>
      </w:tr>
      <w:tr>
        <w:tc>
          <w:tcPr/>
          <w:p>
            <w:pPr>
              <w:pStyle w:val="Compact"/>
            </w:pPr>
            <w:r>
              <w:rPr>
                <w:rStyle w:val="VerbatimChar"/>
              </w:rPr>
              <w:t xml:space="preserve">nameninventaris_bron</w:t>
            </w:r>
          </w:p>
        </w:tc>
        <w:tc>
          <w:tcPr/>
          <w:p>
            <w:pPr>
              <w:pStyle w:val="Compact"/>
              <w:jc w:val="right"/>
            </w:pPr>
            <w:r>
              <w:t xml:space="preserve">8</w:t>
            </w:r>
          </w:p>
        </w:tc>
        <w:tc>
          <w:tcPr/>
          <w:p>
            <w:pPr>
              <w:pStyle w:val="Compact"/>
            </w:pPr>
            <w:r>
              <w:t xml:space="preserve">Beekman 2021, twee historische artikelen, Neefjes 2010, TOP10NL, OSM en twee Dunea-bronnen.</w:t>
            </w:r>
          </w:p>
        </w:tc>
      </w:tr>
      <w:tr>
        <w:tc>
          <w:tcPr/>
          <w:p>
            <w:pPr>
              <w:pStyle w:val="Compact"/>
            </w:pPr>
            <w:r>
              <w:rPr>
                <w:rStyle w:val="VerbatimChar"/>
              </w:rPr>
              <w:t xml:space="preserve">nameninventaris_object</w:t>
            </w:r>
          </w:p>
        </w:tc>
        <w:tc>
          <w:tcPr/>
          <w:p>
            <w:pPr>
              <w:pStyle w:val="Compact"/>
              <w:jc w:val="right"/>
            </w:pPr>
            <w:r>
              <w:t xml:space="preserve">182</w:t>
            </w:r>
          </w:p>
        </w:tc>
        <w:tc>
          <w:tcPr/>
          <w:p>
            <w:pPr>
              <w:pStyle w:val="Compact"/>
            </w:pPr>
            <w:r>
              <w:t xml:space="preserve">Onderscheiden gebieds-, functionele, pad-, weg- en routeobjecten.</w:t>
            </w:r>
          </w:p>
        </w:tc>
      </w:tr>
      <w:tr>
        <w:tc>
          <w:tcPr/>
          <w:p>
            <w:pPr>
              <w:pStyle w:val="Compact"/>
            </w:pPr>
            <w:r>
              <w:rPr>
                <w:rStyle w:val="VerbatimChar"/>
              </w:rPr>
              <w:t xml:space="preserve">nameninventaris_vermelding</w:t>
            </w:r>
          </w:p>
        </w:tc>
        <w:tc>
          <w:tcPr/>
          <w:p>
            <w:pPr>
              <w:pStyle w:val="Compact"/>
              <w:jc w:val="right"/>
            </w:pPr>
            <w:r>
              <w:t xml:space="preserve">299</w:t>
            </w:r>
          </w:p>
        </w:tc>
        <w:tc>
          <w:tcPr/>
          <w:p>
            <w:pPr>
              <w:pStyle w:val="Compact"/>
            </w:pPr>
            <w:r>
              <w:t xml:space="preserve">Gedateerde naamvermeldingen uit 1602–2026.</w:t>
            </w:r>
          </w:p>
        </w:tc>
      </w:tr>
      <w:tr>
        <w:tc>
          <w:tcPr/>
          <w:p>
            <w:pPr>
              <w:pStyle w:val="Compact"/>
            </w:pPr>
            <w:r>
              <w:rPr>
                <w:rStyle w:val="VerbatimChar"/>
              </w:rPr>
              <w:t xml:space="preserve">nameninventaris_geometrie</w:t>
            </w:r>
          </w:p>
        </w:tc>
        <w:tc>
          <w:tcPr/>
          <w:p>
            <w:pPr>
              <w:pStyle w:val="Compact"/>
              <w:jc w:val="right"/>
            </w:pPr>
            <w:r>
              <w:t xml:space="preserve">71</w:t>
            </w:r>
          </w:p>
        </w:tc>
        <w:tc>
          <w:tcPr/>
          <w:p>
            <w:pPr>
              <w:pStyle w:val="Compact"/>
            </w:pPr>
            <w:r>
              <w:t xml:space="preserve">Brongeometrieën in EPSG:28992 voor 71 objecten.</w:t>
            </w:r>
          </w:p>
        </w:tc>
      </w:tr>
      <w:tr>
        <w:tc>
          <w:tcPr/>
          <w:p>
            <w:pPr>
              <w:pStyle w:val="Compact"/>
            </w:pPr>
            <w:r>
              <w:rPr>
                <w:rStyle w:val="VerbatimChar"/>
              </w:rPr>
              <w:t xml:space="preserve">nameninventaris_geometrie_bronobject</w:t>
            </w:r>
          </w:p>
        </w:tc>
        <w:tc>
          <w:tcPr/>
          <w:p>
            <w:pPr>
              <w:pStyle w:val="Compact"/>
              <w:jc w:val="right"/>
            </w:pPr>
            <w:r>
              <w:t xml:space="preserve">107</w:t>
            </w:r>
          </w:p>
        </w:tc>
        <w:tc>
          <w:tcPr/>
          <w:p>
            <w:pPr>
              <w:pStyle w:val="Compact"/>
            </w:pPr>
            <w:r>
              <w:t xml:space="preserve">Herleidbaarheid van samengevoegde geometrieën naar afzonderlijke bronobjecten.</w:t>
            </w:r>
          </w:p>
        </w:tc>
      </w:tr>
      <w:tr>
        <w:tc>
          <w:tcPr/>
          <w:p>
            <w:pPr>
              <w:pStyle w:val="Compact"/>
            </w:pPr>
            <w:r>
              <w:rPr>
                <w:rStyle w:val="VerbatimChar"/>
              </w:rPr>
              <w:t xml:space="preserve">nameninventaris_beoordeling</w:t>
            </w:r>
          </w:p>
        </w:tc>
        <w:tc>
          <w:tcPr/>
          <w:p>
            <w:pPr>
              <w:pStyle w:val="Compact"/>
              <w:jc w:val="right"/>
            </w:pPr>
            <w:r>
              <w:t xml:space="preserve">111</w:t>
            </w:r>
          </w:p>
        </w:tc>
        <w:tc>
          <w:tcPr/>
          <w:p>
            <w:pPr>
              <w:pStyle w:val="Compact"/>
            </w:pPr>
            <w:r>
              <w:t xml:space="preserve">Actuele, expliciete geometrieleemten; deze namen worden niet ruimtelijk afgeleid.</w:t>
            </w:r>
          </w:p>
        </w:tc>
      </w:tr>
      <w:tr>
        <w:tc>
          <w:tcPr/>
          <w:p>
            <w:pPr>
              <w:pStyle w:val="Compact"/>
            </w:pPr>
            <w:r>
              <w:rPr>
                <w:rStyle w:val="VerbatimChar"/>
              </w:rPr>
              <w:t xml:space="preserve">plot_geometrie_import</w:t>
            </w:r>
          </w:p>
        </w:tc>
        <w:tc>
          <w:tcPr/>
          <w:p>
            <w:pPr>
              <w:pStyle w:val="Compact"/>
              <w:jc w:val="right"/>
            </w:pPr>
            <w:r>
              <w:t xml:space="preserve">1</w:t>
            </w:r>
          </w:p>
        </w:tc>
        <w:tc>
          <w:tcPr/>
          <w:p>
            <w:pPr>
              <w:pStyle w:val="Compact"/>
            </w:pPr>
            <w:r>
              <w:t xml:space="preserve">Actuele SOVON-kavelgeometrie van 55 plots, versie</w:t>
            </w:r>
            <w:r>
              <w:t xml:space="preserve"> </w:t>
            </w:r>
            <w:r>
              <w:rPr>
                <w:rStyle w:val="VerbatimChar"/>
              </w:rPr>
              <w:t xml:space="preserve">sovon-avimap-2025-download-2026-10-02</w:t>
            </w:r>
            <w:r>
              <w:t xml:space="preserve">.</w:t>
            </w:r>
          </w:p>
        </w:tc>
      </w:tr>
      <w:tr>
        <w:tc>
          <w:tcPr/>
          <w:p>
            <w:pPr>
              <w:pStyle w:val="Compact"/>
            </w:pPr>
            <w:r>
              <w:rPr>
                <w:rStyle w:val="VerbatimChar"/>
              </w:rPr>
              <w:t xml:space="preserve">nameninventaris_plot_koppeling</w:t>
            </w:r>
          </w:p>
        </w:tc>
        <w:tc>
          <w:tcPr/>
          <w:p>
            <w:pPr>
              <w:pStyle w:val="Compact"/>
              <w:jc w:val="right"/>
            </w:pPr>
            <w:r>
              <w:t xml:space="preserve">377</w:t>
            </w:r>
          </w:p>
        </w:tc>
        <w:tc>
          <w:tcPr/>
          <w:p>
            <w:pPr>
              <w:pStyle w:val="Compact"/>
            </w:pPr>
            <w:r>
              <w:t xml:space="preserve">Alle geometrische doorsnijdingen tussen 66 naamobjecten en 55 actuele kavels.</w:t>
            </w:r>
          </w:p>
        </w:tc>
      </w:tr>
      <w:tr>
        <w:tc>
          <w:tcPr/>
          <w:p>
            <w:pPr>
              <w:pStyle w:val="Compact"/>
            </w:pPr>
            <w:r>
              <w:rPr>
                <w:rStyle w:val="VerbatimChar"/>
              </w:rPr>
              <w:t xml:space="preserve">v_nameninventaris_plot_actueel</w:t>
            </w:r>
          </w:p>
        </w:tc>
        <w:tc>
          <w:tcPr/>
          <w:p>
            <w:pPr>
              <w:pStyle w:val="Compact"/>
              <w:jc w:val="right"/>
            </w:pPr>
            <w:r>
              <w:t xml:space="preserve">365</w:t>
            </w:r>
          </w:p>
        </w:tc>
        <w:tc>
          <w:tcPr/>
          <w:p>
            <w:pPr>
              <w:pStyle w:val="Compact"/>
            </w:pPr>
            <w:r>
              <w:t xml:space="preserve">Actuele leeslaag voor 53 kavels binnen</w:t>
            </w:r>
            <w:r>
              <w:t xml:space="preserve"> </w:t>
            </w:r>
            <w:r>
              <w:rPr>
                <w:rStyle w:val="VerbatimChar"/>
              </w:rPr>
              <w:t xml:space="preserve">meijendel_natura2000</w:t>
            </w:r>
            <w:r>
              <w:t xml:space="preserve">;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7" w:name="_3a68ce2518fa2826494f15f4a6805cb1b04675a"/>
      <w:r>
        <w:t xml:space="preserve">Bijlage huidige tabellen en bestemmingsrichting</w:t>
      </w:r>
      <w:bookmarkEnd w:id="27"/>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9" w:name="_838a18ce0b533c97d695ebd40dd69953293f02c"/>
      <w:r>
        <w:t xml:space="preserve">Soortgerichte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0" w:name="_2baa1da6f22113d9423ee4dc7af355a1ce47c05"/>
      <w:r>
        <w:t xml:space="preserve">Gemengde meetstructuren</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2" w:name="_eb9d07d4c7efe67c7c4989c4204cb609d72fc87"/>
      <w:r>
        <w:t xml:space="preserve">Externe ecologie</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3" w:name="_vangblik"/>
      <w:r>
        <w:t xml:space="preserve">Vangblik</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4" w:name="_pq"/>
      <w:r>
        <w:t xml:space="preserve">PQ</w:t>
      </w:r>
      <w:bookmarkEnd w:id="34"/>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2026-10-16T11:06:46Z</dcterms:created>
  <dcterms:modified xsi:type="dcterms:W3CDTF">2026-10-16T11:06:46Z</dcterms:modified>
</cp:coreProperties>
</file>

<file path=docProps/custom.xml><?xml version="1.0" encoding="utf-8"?>
<Properties xmlns="http://schemas.openxmlformats.org/officeDocument/2006/custom-properties" xmlns:vt="http://schemas.openxmlformats.org/officeDocument/2006/docPropsVTypes"/>
</file>