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dea145a7474320bcc321aebaf5687f9ab4d02fb"/>
    <w:p>
      <w:pPr>
        <w:pStyle w:val="Title"/>
      </w:pPr>
      <w:r>
        <w:rPr>
          <w:color w:val="000000"/>
        </w:rPr>
        <w:t xml:space="preserve">Bronregister ecologische gegevens Meijendel</w:t>
      </w:r>
    </w:p>
    <w:p>
      <w:pPr>
        <w:pStyle w:val="BodyText"/>
      </w:pPr>
      <w:r>
        <w:rPr>
          <w:b/>
        </w:rPr>
        <w:t>Stand: 29 september 2026.</w:t>
      </w:r>
      <w:r>
        <w:t xml:space="preserve"> </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rPr>
          <w:color w:val="000000"/>
        </w:rP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bookmarkEnd w:id="9"/>
    <w:bookmarkStart w:id="10" w:name="overkoepelende-analysegeschiktheid"/>
    <w:p>
      <w:pPr/>
      <w:r>
        <w:rPr>
          <w:b/>
        </w:rPr>
        <w:t>Taxonomisch register aangevuld en centraal opgeschoond, stand 29 september 2026.</w:t>
      </w:r>
      <w:r>
        <w:t xml:space="preserve"> De levende lokale database bevat nu 27 praktische groepen en 11.660 centrale vermeldingen: 11.659 naamvermeldingen en één uitdrukkelijk onbepaald operationeel collectieobject. De tabel met bronkoppelingen bevat 30.035 rijen: alle 18.437 oorspronkelijke bronbesluiten, drie eerdere identificatie-aliassen, 6.121 volledig bewaarde oorspronkelijke taxoncontexten, 5.473 aanvullende brongebruiken voor afgeleide meet-/doelsoortregels en de koppeling van het onbepaalde object. Van de oorspronkelijke besluiten blijven 18.350 actief en 87 als eerdere versies bewaard.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Pr/>
      <w:r>
        <w:rPr>
          <w:b/>
        </w:rPr>
        <w:t>Alle soortwaarnemingen centraal bereikbaar, 29 september 2026.</w:t>
      </w:r>
      <w:r>
        <w:t xml:space="preserve"> Vanuit taxa, taxa_bronkoppeling en taxon_groepen zijn alle oorspronkelijke soortwaarnemingen, afgeleide meetregels, echte nullen en historische versies in Meijendel bereikbaar. De volledige inventarisatie van 253 basistabellen geeft 122 beoordeelde routes, zonder ontbrekende koppelingen of vermenigvuldiging van soortregels. Dit omvat ook alle LVD-resultaten binnen en buiten pq_*.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242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rPr>
        <w:t>Gerichte taxonfusie, 28 en 29 september 2026.</w:t>
      </w:r>
      <w:r>
        <w:t xml:space="preserve"> 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 docs/database/TAXONREGISTER.md.</w:t>
      </w:r>
    </w:p>
    <w:p>
      <w:pPr/>
      <w:r>
        <w:t>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r>
        <w:t>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r>
        <w:t>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r>
        <w:t>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r>
        <w:t>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r>
        <w:rPr>
          <w:color w:val="000000"/>
        </w:rP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rPr>
          <w:color w:val="000000"/>
        </w:rPr>
        <w:t xml:space="preserve">Beheerregel</w:t>
      </w:r>
    </w:p>
    <w:p>
      <w:pPr>
        <w:pStyle w:val="FirstParagraph"/>
      </w:pPr>
      <w:r>
        <w:t>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bookmarkEnd w:id="11"/>
    <w:bookmarkStart w:id="50" w:name="Xc07dfd40f027bce65d2d0499dc5da8ab7f6fd0f"/>
    <w:p>
      <w:pPr>
        <w:pStyle w:val="Heading2"/>
      </w:pPr>
      <w:r>
        <w:rPr>
          <w:color w:val="000000"/>
        </w:rPr>
        <w:t xml:space="preserve">1. Bronnen in MySQL-database</w:t>
      </w:r>
      <w:r>
        <w:rPr>
          <w:color w:val="000000"/>
        </w:rPr>
        <w:t xml:space="preserve"> </w:t>
      </w:r>
      <w:r>
        <w:rPr>
          <w:rStyle w:val="VerbatimChar"/>
          <w:color w:val="000000"/>
        </w:rPr>
        <w:t xml:space="preserve">Meijendel</w:t>
      </w:r>
    </w:p>
    <w:bookmarkStart w:id="12" w:name="X32ab8fbd5be08d3f325e2553cd15813ff7e9c1f"/>
    <w:p>
      <w:pPr>
        <w:pStyle w:val="Heading3"/>
      </w:pPr>
      <w:r>
        <w:rPr>
          <w:color w:val="000000"/>
        </w:rP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bookmarkEnd w:id="12"/>
    <w:bookmarkStart w:id="13" w:name="X9645acbfea6b379f23d12aeedc36c987000825a"/>
    <w:p>
      <w:pPr>
        <w:pStyle w:val="BodyText"/>
      </w:pPr>
      <w:r>
        <w:rPr>
          <w:b/>
        </w:rPr>
        <w:t xml:space="preserve">Taxonomische ontsluiting, 27 september 2026. </w:t>
      </w:r>
      <w:r>
        <w:t>De 263 gebruikte vogelcategorieën uit soorten hebben ieder een voorlopig naamgebruik in taxa en een kandidaat in taxa_bronkoppeling.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Heading3"/>
      </w:pPr>
      <w:r>
        <w:rPr>
          <w:color w:val="000000"/>
        </w:rP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bookmarkEnd w:id="13"/>
    <w:bookmarkStart w:id="14" w:name="X58edaa7a0159e378417d8d9e2f3abf27d746f4f"/>
    <w:p>
      <w:pPr>
        <w:pStyle w:val="BodyText"/>
      </w:pPr>
      <w:r>
        <w:rPr>
          <w:b/>
        </w:rPr>
        <w:t>PQ-integratie, 27–28 september 2026.</w:t>
      </w:r>
      <w:r>
        <w:t xml:space="preserve"> 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Heading3"/>
      </w:pPr>
      <w:r>
        <w:rPr>
          <w:color w:val="000000"/>
        </w:rP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Xd3fb9a25da94fa35cd3895c324ae264efa6b6ce"/>
    <w:p>
      <w:pPr>
        <w:pStyle w:val="Heading3"/>
      </w:pPr>
      <w:r>
        <w:rPr>
          <w:color w:val="000000"/>
        </w:rP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bookmarkEnd w:id="16"/>
    <w:bookmarkStart w:id="34" w:name="X05a7f9ed9696b113895f0c60145ad70b98b3ccf"/>
    <w:p>
      <w:pPr>
        <w:pStyle w:val="BodyText"/>
      </w:pPr>
      <w:r>
        <w:rPr>
          <w:b/>
        </w:rPr>
        <w:t>Vangblik-opschoning, 28 september 2026.</w:t>
      </w:r>
      <w:r>
        <w:t xml:space="preserve"> De 60.560 vangstregels uit 1953–1960 zijn lokaal rechtstreeks verbonden met het centrale taxonregister. De 275 oorspronkelijke taxonvermeldingen zijn daar met alle bronvelden behouden; de afzonderlijke tabel vangblik_soorten 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r>
        <w:rPr>
          <w:color w:val="000000"/>
        </w:rPr>
        <w:t xml:space="preserve">1.5. NDFF: één canonieke laag van openbare en beveiligde gegevens</w:t>
      </w:r>
    </w:p>
    <w:p>
      <w:pPr>
        <w:pStyle w:val="FirstParagraph"/>
      </w:pPr>
      <w:r>
        <w:rPr>
          <w:b/>
        </w:rPr>
        <w:t>Omvang en periode.</w:t>
      </w:r>
      <w:r>
        <w:t xml:space="preserve"> 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Xf2f5e1637d9b0d825d88db49318fbe09fe4562d"/>
    <w:p>
      <w:pPr>
        <w:pStyle w:val="Heading4"/>
      </w:pPr>
      <w:r>
        <w:rPr>
          <w:color w:val="000000"/>
        </w:rP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Xab588a339567fbeba82f7ca9f0ef20022ceaf38"/>
    <w:p>
      <w:pPr>
        <w:pStyle w:val="Heading4"/>
      </w:pPr>
      <w:r>
        <w:rPr>
          <w:color w:val="000000"/>
        </w:rP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X5eeebc0b3ea39369efcb9361b685b51ab379390"/>
    <w:p>
      <w:pPr>
        <w:pStyle w:val="Heading4"/>
      </w:pPr>
      <w:r>
        <w:rPr>
          <w:color w:val="000000"/>
        </w:rP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Xf7f75bff85528639d3a54437d815ffc982ac078"/>
    <w:p>
      <w:pPr>
        <w:pStyle w:val="Heading4"/>
      </w:pPr>
      <w:r>
        <w:rPr>
          <w:color w:val="000000"/>
        </w:rP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X5952ec78f96e716985cfd2bef0c6dea751da098"/>
    <w:p>
      <w:pPr>
        <w:pStyle w:val="Heading4"/>
      </w:pPr>
      <w:r>
        <w:rPr>
          <w:color w:val="000000"/>
        </w:rP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Xf98973ac0b4b22a8147264cf6fda7ae2d1f2584"/>
    <w:p>
      <w:pPr>
        <w:pStyle w:val="Heading4"/>
      </w:pPr>
      <w:r>
        <w:rPr>
          <w:color w:val="000000"/>
        </w:rP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X9ffbbed58a474302bc88f9b6483937563542adc"/>
    <w:p>
      <w:pPr>
        <w:pStyle w:val="Heading4"/>
      </w:pPr>
      <w:r>
        <w:rPr>
          <w:color w:val="000000"/>
        </w:rP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X90b1412457ba2ad39675de54e16fb4052a9af96"/>
    <w:p>
      <w:pPr>
        <w:pStyle w:val="Heading4"/>
      </w:pPr>
      <w:r>
        <w:rPr>
          <w:color w:val="000000"/>
        </w:rP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X0bf7c6d2026ffa63b6182a76ed7ab201ef2ca1a"/>
    <w:p>
      <w:pPr>
        <w:pStyle w:val="Heading4"/>
      </w:pPr>
      <w:r>
        <w:rPr>
          <w:color w:val="000000"/>
        </w:rP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Xd64910a2091f56dedd2aaa5a75994d38ec4c969"/>
    <w:p>
      <w:pPr>
        <w:pStyle w:val="Heading4"/>
      </w:pPr>
      <w:r>
        <w:rPr>
          <w:color w:val="000000"/>
        </w:rP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X9cec44656db08bd57f600992eaa74a526d260b3"/>
    <w:p>
      <w:pPr>
        <w:pStyle w:val="Heading4"/>
      </w:pPr>
      <w:r>
        <w:rPr>
          <w:color w:val="000000"/>
        </w:rP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c056d2025de29c95bc511421c5f5e41469354eb"/>
    <w:p>
      <w:pPr>
        <w:pStyle w:val="Heading4"/>
      </w:pPr>
      <w:r>
        <w:rPr>
          <w:color w:val="000000"/>
        </w:rP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Xb2fbeb28e0a334b9e6cb93232c4d845faf48221"/>
    <w:p>
      <w:pPr>
        <w:pStyle w:val="Heading4"/>
      </w:pPr>
      <w:r>
        <w:rPr>
          <w:color w:val="000000"/>
        </w:rP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X0ce2ec4e8b5503e251897e5490450ca2d9e0742"/>
    <w:p>
      <w:pPr>
        <w:pStyle w:val="Heading4"/>
      </w:pPr>
      <w:r>
        <w:rPr>
          <w:color w:val="000000"/>
        </w:rP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X339fafe251367982d6218746f16721a93fa7f70"/>
    <w:p>
      <w:pPr>
        <w:pStyle w:val="Heading4"/>
      </w:pPr>
      <w:r>
        <w:rPr>
          <w:color w:val="000000"/>
        </w:rP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X342bae7ae5afae546f17223888206446d449411"/>
    <w:p>
      <w:pPr>
        <w:pStyle w:val="Heading4"/>
      </w:pPr>
      <w:r>
        <w:rPr>
          <w:color w:val="000000"/>
        </w:rP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Xcc11e4dda0fa9b87cf2613be17ff277804bdc91"/>
    <w:p>
      <w:pPr>
        <w:pStyle w:val="Heading4"/>
      </w:pPr>
      <w:r>
        <w:rPr>
          <w:color w:val="000000"/>
        </w:rP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2" w:name="X77733873953f7250a44afc39ac6f33e9c0fface"/>
    <w:p>
      <w:pPr>
        <w:pStyle w:val="Heading3"/>
      </w:pPr>
      <w:r>
        <w:rPr>
          <w:color w:val="000000"/>
        </w:rP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bookmarkStart w:id="36" w:name="Xaa03dabe850e534118471d9a4587f103d7cc6d0"/>
    <w:p>
      <w:pPr>
        <w:pStyle w:val="Heading4"/>
      </w:pPr>
      <w:r>
        <w:rPr>
          <w:color w:val="000000"/>
        </w:rP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6"/>
    <w:bookmarkStart w:id="37" w:name="Xe9b446960bca12075cdde30af1cbaf73f645a87"/>
    <w:p>
      <w:pPr>
        <w:pStyle w:val="Heading4"/>
      </w:pPr>
      <w:r>
        <w:rPr>
          <w:color w:val="000000"/>
        </w:rP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7"/>
    <w:bookmarkStart w:id="38" w:name="X0079604d46da30ac9b5828c2b6c106eff7cd8f8"/>
    <w:p>
      <w:pPr>
        <w:pStyle w:val="Heading4"/>
      </w:pPr>
      <w:r>
        <w:rPr>
          <w:color w:val="000000"/>
        </w:rP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bookmarkEnd w:id="38"/>
    <w:bookmarkStart w:id="39" w:name="Xa66e2be297c2cf82b37e3e4b59e101c55a2b789"/>
    <w:p>
      <w:pPr>
        <w:pStyle w:val="BodyText"/>
      </w:pPr>
      <w:r>
        <w:rPr>
          <w:b/>
        </w:rPr>
        <w:t>Overlap en gebruik.</w:t>
      </w:r>
      <w:r>
        <w:t xml:space="preserve"> 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rPr>
        <w:t>PQ-broncontrole, 27 september 2026.</w:t>
      </w:r>
      <w:r>
        <w:t xml:space="preserve"> 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 gis/scripts/run_external_ecology_overlap_audit.py --pq-inventarisatie. Uitvoeringsbewijs en gecontroleerde herstelback-up staan lokaal onder outputs/pq-integratie.</w:t>
      </w:r>
    </w:p>
    <w:p>
      <w:pPr>
        <w:pStyle w:val="BodyText"/>
      </w:pPr>
      <w:r>
        <w:rPr>
          <w:b/>
        </w:rPr>
        <w:t>Taxonomische importbeperking, vastgesteld 27 september 2026.</w:t>
      </w:r>
      <w:r>
        <w:t xml:space="preserve"> De oorspronkelijke import gebruikte bij alle 81.310 toegelaten LVD-resultaten (1959–2015; 998 verschillende naamstrings) een status als taxonrang: 81.285 keer accepted en 25 keer synonym. De oorspronkelijke status blijft ook in de bronmetadata bewaard. Bij de 16.627 verplaatste resultaten heet dit veld nu taxonomische_status_aangeleverd;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 docs/database/TAXONREGISTER.md voor model, controles en herstelwijze.</w:t>
      </w:r>
    </w:p>
    <w:p>
      <w:pPr/>
      <w:r>
        <w:rPr>
          <w:b/>
        </w:rPr>
        <w:t>Aanvullende taxonomische metadata, beoordeeld 27 september 2026.</w:t>
      </w:r>
      <w:r>
        <w:t xml:space="preserve"> In de extractie van 998 LVD-naamgebruiken uit de bronreeks 1959–2015 is bij 122 het veld scientificNameAuthorship gelijk aan de volledige scientificName. Manifest v3 heeft deze tekst niet als auteur overgenomen: het centrale veld naam_auteur bleef bij die invoer voor deze 122 naamgebruiken leeg. Bij de centralisatie zijn afzonderlijk onderbouwde auteursnamen aangevuld; de oorspronkelijke lege waarde blijft in de broncontext bewaard. De letterlijke bronmetadata zijn in taxa_bronkoppeling behouden. Dit betreft 122 naamgebruiken, niet 122 waarnemingen. De toevoeging aan het register verandert geen meetwaarden, ruimtelijke toelating, overlapbesluiten of bestaande bronvelden.</w:t>
      </w:r>
    </w:p>
    <w:p>
      <w:pPr>
        <w:pStyle w:val="Heading4"/>
      </w:pPr>
      <w:r>
        <w:rPr>
          <w:color w:val="000000"/>
        </w:rP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39"/>
    <w:bookmarkStart w:id="40" w:name="X0623f0a4d9ecb153e84d6aa679ad58f6c310383"/>
    <w:p>
      <w:pPr>
        <w:pStyle w:val="Heading4"/>
      </w:pPr>
      <w:r>
        <w:rPr>
          <w:color w:val="000000"/>
        </w:rP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0"/>
    <w:bookmarkStart w:id="41" w:name="Xdd278617f9613de433492781e9679e24605d2f3"/>
    <w:p>
      <w:pPr>
        <w:pStyle w:val="Heading4"/>
      </w:pPr>
      <w:r>
        <w:rPr>
          <w:color w:val="000000"/>
        </w:rP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1"/>
    <w:bookmarkEnd w:id="42"/>
    <w:bookmarkStart w:id="43" w:name="X4dcded00268e6461b0ddc34253d4faf52bf1dd1"/>
    <w:p>
      <w:pPr>
        <w:pStyle w:val="Heading3"/>
      </w:pPr>
      <w:r>
        <w:rPr>
          <w:color w:val="000000"/>
        </w:rP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3"/>
    <w:bookmarkStart w:id="49" w:name="X14c58f11b78e283997281ebde92c6b31ebc0c80"/>
    <w:p>
      <w:pPr>
        <w:pStyle w:val="Heading3"/>
      </w:pPr>
      <w:r>
        <w:rPr>
          <w:color w:val="000000"/>
        </w:rP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4" w:name="X97e37a83ef92e6db79e0a815abf4c3d8d6d1754"/>
    <w:p>
      <w:pPr>
        <w:pStyle w:val="Heading4"/>
      </w:pPr>
      <w:r>
        <w:rPr>
          <w:color w:val="000000"/>
        </w:rP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4"/>
    <w:bookmarkStart w:id="45" w:name="X625608f018b59d28869e33232003bd07c2f07d5"/>
    <w:p>
      <w:pPr>
        <w:pStyle w:val="Heading4"/>
      </w:pPr>
      <w:r>
        <w:rPr>
          <w:color w:val="000000"/>
        </w:rP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5"/>
    <w:bookmarkStart w:id="46" w:name="X8ebc62c1d17a2d7a08504bddffeeb5916a0bcb3"/>
    <w:p>
      <w:pPr>
        <w:pStyle w:val="Heading4"/>
      </w:pPr>
      <w:r>
        <w:rPr>
          <w:color w:val="000000"/>
        </w:rP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6"/>
    <w:bookmarkStart w:id="47" w:name="X972156668716d33d6f7bf93cdaf573c7928edca"/>
    <w:p>
      <w:pPr>
        <w:pStyle w:val="Heading4"/>
      </w:pPr>
      <w:r>
        <w:rPr>
          <w:color w:val="000000"/>
        </w:rP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7"/>
    <w:bookmarkStart w:id="48" w:name="X92770fc640c1bb2fd0ffeda71d68ce2650b46be"/>
    <w:p>
      <w:pPr>
        <w:pStyle w:val="Heading4"/>
      </w:pPr>
      <w:r>
        <w:rPr>
          <w:color w:val="000000"/>
        </w:rP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8"/>
    <w:bookmarkEnd w:id="49"/>
    <w:bookmarkEnd w:id="50"/>
    <w:bookmarkStart w:id="58" w:name="X692b0a71312b2a939db271d079fb23757bfc15a"/>
    <w:p>
      <w:pPr>
        <w:pStyle w:val="Heading2"/>
      </w:pPr>
      <w:r>
        <w:rPr>
          <w:color w:val="000000"/>
        </w:rPr>
        <w:t xml:space="preserve">2. Bronnen in MySQL-database</w:t>
      </w:r>
      <w:r>
        <w:rPr>
          <w:color w:val="000000"/>
        </w:rPr>
        <w:t xml:space="preserve"> </w:t>
      </w:r>
      <w:r>
        <w:rPr>
          <w:rStyle w:val="VerbatimChar"/>
          <w:color w:val="000000"/>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2" w:name="X7ae3f60e8dd3c65bdde3d5f608a55d96632a876"/>
    <w:p>
      <w:pPr>
        <w:pStyle w:val="Heading3"/>
      </w:pPr>
      <w:r>
        <w:rPr>
          <w:color w:val="000000"/>
        </w:rPr>
        <w:t xml:space="preserve">2.1. Duinvalleivegetatie</w:t>
      </w:r>
    </w:p>
    <w:p>
      <w:pPr>
        <w:pStyle w:val="FirstParagraph"/>
      </w:pPr>
      <w:r>
        <w:rPr>
          <w:b/>
          <w:bCs/>
        </w:rPr>
        <w:t xml:space="preserve">Beheerder.</w:t>
      </w:r>
      <w:r>
        <w:t xml:space="preserve"> </w:t>
      </w:r>
      <w:r>
        <w:t xml:space="preserve">Openbare onderzoeksdataset,</w:t>
      </w:r>
      <w:r>
        <w:t xml:space="preserve"> </w:t>
      </w:r>
      <w:hyperlink r:id="rId51">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2"/>
    <w:bookmarkStart w:id="53" w:name="X6cd5cd3671e295c222d5bd4a47757f0a76f0a19"/>
    <w:p>
      <w:pPr>
        <w:pStyle w:val="Heading3"/>
      </w:pPr>
      <w:r>
        <w:rPr>
          <w:color w:val="000000"/>
        </w:rP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bookmarkEnd w:id="53"/>
    <w:bookmarkStart w:id="54" w:name="Xb3fdc40884db1bbf06132e666e117a731445140"/>
    <w:p>
      <w:pPr>
        <w:pStyle w:val="BodyText"/>
      </w:pPr>
      <w:r>
        <w:rPr>
          <w:b/>
        </w:rPr>
        <w:t>Waarde en beperking.</w:t>
      </w:r>
      <w:r>
        <w:t xml:space="preserve"> Historische vogelcontext. Zonder locatie per regel geen kavel- of ruimtelijke analyse. Het productieoverzicht van 28 september 2026 toont daarnaast een bestaande tabel vogelstand_1924 buiten de canonieke export. Deze blijft tijdens de PQ-publicatie onaangetast; haar aanwezigheid geeft geen nieuwe analysetoestemming. Dit schema-overzicht bewijst de tabelnaam en het type, niet haar actuele rijtelling.</w:t>
      </w:r>
    </w:p>
    <w:p>
      <w:pPr>
        <w:pStyle w:val="Heading3"/>
      </w:pPr>
      <w:r>
        <w:rPr>
          <w:color w:val="000000"/>
        </w:rP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4"/>
    <w:bookmarkStart w:id="55" w:name="X7c2c13aacf0ea926ee35ca97ab69391a3624a6f"/>
    <w:p>
      <w:pPr>
        <w:pStyle w:val="Heading3"/>
      </w:pPr>
      <w:r>
        <w:rPr>
          <w:color w:val="000000"/>
        </w:rP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5"/>
    <w:bookmarkStart w:id="56" w:name="X4a1f2475629c7656191227e4ca81566bef187e2"/>
    <w:p>
      <w:pPr>
        <w:pStyle w:val="Heading3"/>
      </w:pPr>
      <w:r>
        <w:rPr>
          <w:color w:val="000000"/>
        </w:rP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6"/>
    <w:bookmarkStart w:id="57" w:name="Xbef92f685785a24a45e5325384551ba55c57cc1"/>
    <w:p>
      <w:pPr>
        <w:pStyle w:val="Heading3"/>
      </w:pPr>
      <w:r>
        <w:rPr>
          <w:color w:val="000000"/>
        </w:rP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7"/>
    <w:bookmarkEnd w:id="58"/>
    <w:bookmarkStart w:id="78" w:name="X2b62b82ef201b4c91783bce15da2b1d0258c34c"/>
    <w:p>
      <w:pPr>
        <w:pStyle w:val="Heading2"/>
      </w:pPr>
      <w:r>
        <w:rPr>
          <w:color w:val="000000"/>
        </w:rP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5" w:name="Xd53aceb4d9e4863cdbb6367737be5e291cdac65"/>
    <w:p>
      <w:pPr>
        <w:pStyle w:val="Heading3"/>
      </w:pPr>
      <w:r>
        <w:rPr>
          <w:color w:val="000000"/>
        </w:rPr>
        <w:t xml:space="preserve">Kandidaten met de grootste verwachte aanvulling</w:t>
      </w:r>
    </w:p>
    <w:bookmarkStart w:id="59" w:name="Xbddce02f5cb2b082bf32fac381c8bc0ea5284d3"/>
    <w:p>
      <w:pPr>
        <w:pStyle w:val="Heading4"/>
      </w:pPr>
      <w:r>
        <w:rPr>
          <w:color w:val="000000"/>
        </w:rP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59"/>
    <w:bookmarkStart w:id="60" w:name="X8071b7ae643e6cecadbf8a281c84bb90b511e63"/>
    <w:p>
      <w:pPr>
        <w:pStyle w:val="Heading4"/>
      </w:pPr>
      <w:r>
        <w:rPr>
          <w:color w:val="000000"/>
        </w:rP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0"/>
    <w:bookmarkStart w:id="61" w:name="X1b05a95cacb83608c9b762adcf4298810ed86f9"/>
    <w:p>
      <w:pPr>
        <w:pStyle w:val="Heading4"/>
      </w:pPr>
      <w:r>
        <w:rPr>
          <w:color w:val="000000"/>
        </w:rP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1"/>
    <w:bookmarkStart w:id="63" w:name="X4578481a165cef1470f100d42a5e836ac7456f8"/>
    <w:p>
      <w:pPr>
        <w:pStyle w:val="Heading4"/>
      </w:pPr>
      <w:r>
        <w:rPr>
          <w:color w:val="000000"/>
        </w:rPr>
        <w:t xml:space="preserve">3.4.</w:t>
      </w:r>
      <w:r>
        <w:rPr>
          <w:color w:val="000000"/>
        </w:rPr>
        <w:t xml:space="preserve"> </w:t>
      </w:r>
      <w:hyperlink r:id="rId62">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3"/>
    <w:bookmarkStart w:id="65" w:name="X642992b46f3d655730973d9bd57c00f9c7aad9f"/>
    <w:p>
      <w:pPr>
        <w:pStyle w:val="Heading4"/>
      </w:pPr>
      <w:r>
        <w:rPr>
          <w:color w:val="000000"/>
        </w:rPr>
        <w:t xml:space="preserve">3.5.</w:t>
      </w:r>
      <w:r>
        <w:rPr>
          <w:color w:val="000000"/>
        </w:rPr>
        <w:t xml:space="preserve"> </w:t>
      </w:r>
      <w:hyperlink r:id="rId64">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5"/>
    <w:bookmarkStart w:id="67" w:name="X80b82bf48485caf594896b8d6bc490be5f328ee"/>
    <w:p>
      <w:pPr>
        <w:pStyle w:val="Heading4"/>
      </w:pPr>
      <w:r>
        <w:rPr>
          <w:color w:val="000000"/>
        </w:rP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6">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7"/>
    <w:bookmarkStart w:id="69" w:name="X4b2db10b2340db42e20505c45425c0b84f14c27"/>
    <w:p>
      <w:pPr>
        <w:pStyle w:val="Heading4"/>
      </w:pPr>
      <w:r>
        <w:rPr>
          <w:color w:val="000000"/>
        </w:rP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8">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69"/>
    <w:bookmarkStart w:id="71" w:name="X442e94e4e2997aa133d10bf618574e2528e759d"/>
    <w:p>
      <w:pPr>
        <w:pStyle w:val="Heading4"/>
      </w:pPr>
      <w:r>
        <w:rPr>
          <w:color w:val="000000"/>
        </w:rP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0">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1"/>
    <w:bookmarkStart w:id="73" w:name="X36e8e197a59cff4a0251b791dc5fc6bc0e135bf"/>
    <w:p>
      <w:pPr>
        <w:pStyle w:val="Heading4"/>
      </w:pPr>
      <w:r>
        <w:rPr>
          <w:color w:val="000000"/>
        </w:rP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2">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3"/>
    <w:bookmarkStart w:id="74" w:name="X49ed5beca1c3c65272a43e85c3687f3c3d41d64"/>
    <w:p>
      <w:pPr>
        <w:pStyle w:val="Heading4"/>
      </w:pPr>
      <w:r>
        <w:rPr>
          <w:color w:val="000000"/>
        </w:rP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4"/>
    <w:bookmarkEnd w:id="75"/>
    <w:bookmarkStart w:id="77" w:name="X136d668cd3b301eba92f27584d1a2d49d57a73c"/>
    <w:p>
      <w:pPr>
        <w:pStyle w:val="Heading3"/>
      </w:pPr>
      <w:r>
        <w:rPr>
          <w:color w:val="000000"/>
        </w:rP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6">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7"/>
    <w:bookmarkEnd w:id="78"/>
    <w:bookmarkStart w:id="79" w:name="Xc540a83ee65aaec11aa446aec0815d16fd21e21"/>
    <w:p>
      <w:pPr>
        <w:pStyle w:val="Heading2"/>
      </w:pPr>
      <w:r>
        <w:rPr>
          <w:color w:val="000000"/>
        </w:rP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79"/>
    <w:bookmarkStart w:id="80" w:name="X422e6271160c2b04a3b59fb5b59cfcc2e3afc55"/>
    <w:p>
      <w:pPr>
        <w:pStyle w:val="Heading2"/>
      </w:pPr>
      <w:r>
        <w:rPr>
          <w:color w:val="000000"/>
        </w:rP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0"/>
    <w:bookmarkStart w:id="81" w:name="Xb05dec49988a12f7955d21ff17f1c91e4d061eb"/>
    <w:p>
      <w:pPr>
        <w:pStyle w:val="Heading2"/>
      </w:pPr>
      <w:r>
        <w:rPr>
          <w:color w:val="000000"/>
        </w:rP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1"/>
    <w:bookmarkStart w:id="87" w:name="X67781990bcb7d7d43cc312a7ef48f37a1f83265"/>
    <w:p>
      <w:pPr>
        <w:pStyle w:val="Heading2"/>
      </w:pPr>
      <w:r>
        <w:rPr>
          <w:color w:val="000000"/>
        </w:rP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2" w:name="Xd7f889e2150e602eaeb242f489896c9b52af547"/>
    <w:p>
      <w:pPr>
        <w:pStyle w:val="Heading3"/>
      </w:pPr>
      <w:r>
        <w:rPr>
          <w:color w:val="000000"/>
        </w:rP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bookmarkEnd w:id="82"/>
    <w:bookmarkStart w:id="83" w:name="Xa67120beb48c3916f8a53c623f303ce8b8a6005"/>
    <w:p>
      <w:pPr>
        <w:pStyle w:val="BodyText"/>
      </w:pPr>
      <w:r>
        <w:rPr>
          <w:b/>
        </w:rPr>
        <w:t>Landelijke Vegetatie Databank: uitgevoerd voor de reproduceerbare bronversie 1.6.</w:t>
      </w:r>
      <w:r>
        <w:t xml:space="preserve"> 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 Meijendel_bronnen.</w:t>
      </w:r>
    </w:p>
    <w:p>
      <w:pPr>
        <w:pStyle w:val="Heading3"/>
      </w:pPr>
      <w:r>
        <w:rPr>
          <w:color w:val="000000"/>
        </w:rP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3"/>
    <w:bookmarkStart w:id="84" w:name="Xc96f79f2027e81b7ab280f9bf69df5af8bdf464"/>
    <w:p>
      <w:pPr>
        <w:pStyle w:val="Heading3"/>
      </w:pPr>
      <w:r>
        <w:rPr>
          <w:color w:val="000000"/>
        </w:rP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4"/>
    <w:bookmarkStart w:id="85" w:name="vaste-werkwijze-per-bron"/>
    <w:p>
      <w:pPr>
        <w:pStyle w:val="Heading3"/>
      </w:pPr>
      <w:r>
        <w:rPr>
          <w:color w:val="000000"/>
        </w:rP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5"/>
    <w:bookmarkStart w:id="86" w:name="dekking-van-de-internetcontrole"/>
    <w:p>
      <w:pPr>
        <w:pStyle w:val="Heading3"/>
      </w:pPr>
      <w:r>
        <w:rPr>
          <w:color w:val="000000"/>
        </w:rP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6"/>
    <w:bookmarkEnd w:id="87"/>
    <w:bookmarkStart w:id="95" w:name="achterliggende-verantwoording"/>
    <w:p>
      <w:pPr>
        <w:pStyle w:val="Heading2"/>
      </w:pPr>
      <w:r>
        <w:rPr>
          <w:color w:val="000000"/>
        </w:rPr>
        <w:t xml:space="preserve">Achterliggende verantwoording</w:t>
      </w:r>
    </w:p>
    <w:p>
      <w:pPr>
        <w:pStyle w:val="Compact"/>
        <w:numPr>
          <w:ilvl w:val="0"/>
          <w:numId w:val="1005"/>
        </w:numPr>
      </w:pPr>
      <w:hyperlink r:id="rId88">
        <w:r>
          <w:rPr>
            <w:rStyle w:val="Hyperlink"/>
          </w:rPr>
          <w:t xml:space="preserve">NDFF-staging en bronvergelijking</w:t>
        </w:r>
      </w:hyperlink>
    </w:p>
    <w:p>
      <w:pPr>
        <w:pStyle w:val="Compact"/>
        <w:numPr>
          <w:ilvl w:val="0"/>
          <w:numId w:val="1005"/>
        </w:numPr>
      </w:pPr>
      <w:hyperlink r:id="rId89">
        <w:r>
          <w:rPr>
            <w:rStyle w:val="Hyperlink"/>
          </w:rPr>
          <w:t xml:space="preserve">NDFF-protocolaudit</w:t>
        </w:r>
      </w:hyperlink>
    </w:p>
    <w:p>
      <w:pPr>
        <w:pStyle w:val="Compact"/>
        <w:numPr>
          <w:ilvl w:val="0"/>
          <w:numId w:val="1005"/>
        </w:numPr>
      </w:pPr>
      <w:hyperlink r:id="rId90">
        <w:r>
          <w:rPr>
            <w:rStyle w:val="Hyperlink"/>
          </w:rPr>
          <w:t xml:space="preserve">Scheiding tussen Meijendel en Meijendel_bronnen</w:t>
        </w:r>
      </w:hyperlink>
    </w:p>
    <w:p>
      <w:pPr>
        <w:pStyle w:val="Compact"/>
        <w:numPr>
          <w:ilvl w:val="0"/>
          <w:numId w:val="1005"/>
        </w:numPr>
      </w:pPr>
      <w:hyperlink r:id="rId91">
        <w:r>
          <w:rPr>
            <w:rStyle w:val="Hyperlink"/>
          </w:rPr>
          <w:t xml:space="preserve">Ruimtelijke audit van contextbronnen</w:t>
        </w:r>
      </w:hyperlink>
    </w:p>
    <w:p>
      <w:pPr>
        <w:pStyle w:val="Compact"/>
        <w:numPr>
          <w:ilvl w:val="0"/>
          <w:numId w:val="1005"/>
        </w:numPr>
      </w:pPr>
      <w:hyperlink r:id="rId92">
        <w:r>
          <w:rPr>
            <w:rStyle w:val="Hyperlink"/>
          </w:rPr>
          <w:t xml:space="preserve">Importbesluit duinvalleivegetatie</w:t>
        </w:r>
      </w:hyperlink>
    </w:p>
    <w:p>
      <w:pPr>
        <w:pStyle w:val="Compact"/>
        <w:numPr>
          <w:ilvl w:val="0"/>
          <w:numId w:val="1005"/>
        </w:numPr>
      </w:pPr>
      <w:hyperlink r:id="rId93">
        <w:r>
          <w:rPr>
            <w:rStyle w:val="Hyperlink"/>
          </w:rPr>
          <w:t xml:space="preserve">Ruimtelijke bronlagen en toelatingsregels</w:t>
        </w:r>
      </w:hyperlink>
    </w:p>
    <w:p>
      <w:pPr>
        <w:pStyle w:val="Compact"/>
        <w:numPr>
          <w:ilvl w:val="0"/>
          <w:numId w:val="1005"/>
        </w:numPr>
      </w:pPr>
      <w:hyperlink r:id="rId94">
        <w:r>
          <w:rPr>
            <w:rStyle w:val="Hyperlink"/>
          </w:rPr>
          <w:t xml:space="preserve">Beveiligde NDFF-ontvangst</w:t>
        </w:r>
      </w:hyperlink>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2026-09-26T14:18:35Z</dcterms:created>
  <dcterms:modified xsi:type="dcterms:W3CDTF">2026-09-26T14:18:35Z</dcterms:modified>
</cp:coreProperties>
</file>

<file path=docProps/custom.xml><?xml version="1.0" encoding="utf-8"?>
<Properties xmlns="http://schemas.openxmlformats.org/officeDocument/2006/custom-properties" xmlns:vt="http://schemas.openxmlformats.org/officeDocument/2006/docPropsVTypes"/>
</file>