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 tot het eerstvolgende conflict.</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 De verwerking is vóór 2023 gepauzeerd: voor M53/Zwarte Kraai bevat de nieuwe SOVON-matrix nul, terwijl de levende</w:t>
      </w:r>
      <w:r>
        <w:t xml:space="preserve"> </w:t>
      </w:r>
      <w:r>
        <w:rPr>
          <w:rStyle w:val="VerbatimChar"/>
        </w:rPr>
        <w:t xml:space="preserve">sovon_m</w:t>
      </w:r>
      <w:r>
        <w:t xml:space="preserve">-regel en Bijlage 2 van het vogelwerkgroepverslag beide één territorium bevatten.</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w:t>
      </w:r>
      <w:r>
        <w:t xml:space="preserve"> </w:t>
      </w:r>
      <w:r>
        <w:rPr>
          <w:rStyle w:val="VerbatimChar"/>
        </w:rPr>
        <w:t xml:space="preserve">territoria</w:t>
      </w:r>
      <w:r>
        <w:t xml:space="preserve"> </w:t>
      </w:r>
      <w:r>
        <w:t xml:space="preserve">bevat na de niet-conflicterende verwerking tot en met 2022 149.922 regels uit 1958-2025. Daarvan zijn 126.337 SOVON-regels uit 1984-2022: 47.428 positieve waarden en 78.909 letterlijke nullen.</w:t>
      </w:r>
      <w:r>
        <w:t xml:space="preserve"> </w:t>
      </w:r>
      <w:r>
        <w:rPr>
          <w:rStyle w:val="VerbatimChar"/>
        </w:rPr>
        <w:t xml:space="preserve">dagbezoeken_bmp</w:t>
      </w:r>
      <w:r>
        <w:t xml:space="preserve"> </w:t>
      </w:r>
      <w:r>
        <w:t xml:space="preserve">bevat voor 1984-2022 alle 13.088 in-scope SOVON-bezoeken uit de downloads al ongewijzigd. De download is dus geen tweede in te voeren gegevenslaag: per jaar wordt hij met de bestaande kerntabellen vergeleken en alleen een vastgesteld, besloten aanvullend gegeven leidt tot een wijziging.</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w:t>
      </w:r>
      <w:r>
        <w:t xml:space="preserve"> </w:t>
      </w:r>
      <w:r>
        <w:rPr>
          <w:rStyle w:val="VerbatimChar"/>
        </w:rPr>
        <w:t xml:space="preserve">plot_jaar_teller</w:t>
      </w:r>
      <w:r>
        <w:t xml:space="preserve"> </w:t>
      </w:r>
      <w:r>
        <w:t xml:space="preserve">bevat daarna 2.456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bCs/>
        </w:rPr>
        <w:t xml:space="preserve">Natura 2000-analysescope vogelplots, vastgesteld 1 oktober 2026 en bijgewerkt na de controle tot en met 2022.</w:t>
      </w:r>
      <w:r>
        <w:t xml:space="preserve"> </w:t>
      </w:r>
      <w:r>
        <w:t xml:space="preserve">De geldige bronverzameling</w:t>
      </w:r>
      <w:r>
        <w:t xml:space="preserve"> </w:t>
      </w:r>
      <w:r>
        <w:rPr>
          <w:rStyle w:val="VerbatimChar"/>
        </w:rPr>
        <w:t xml:space="preserve">territoria</w:t>
      </w:r>
      <w:r>
        <w:t xml:space="preserve"> </w:t>
      </w:r>
      <w:r>
        <w:t xml:space="preserve">bevat 149.922 regels, 54 plots en 2.168 plotjaren uit 1958–2025. M66 (Haagsche Golf Club,</w:t>
      </w:r>
      <w:r>
        <w:t xml:space="preserve"> </w:t>
      </w:r>
      <w:r>
        <w:rPr>
          <w:rStyle w:val="VerbatimChar"/>
        </w:rPr>
        <w:t xml:space="preserve">plot_id = 3503</w:t>
      </w:r>
      <w:r>
        <w:t xml:space="preserve">) bevat daarin 4.128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144.120 territoriumregels, 52 plots en 2.111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2026-10-03T17:30:08Z</dcterms:created>
  <dcterms:modified xsi:type="dcterms:W3CDTF">2026-10-03T17:30:08Z</dcterms:modified>
</cp:coreProperties>
</file>

<file path=docProps/custom.xml><?xml version="1.0" encoding="utf-8"?>
<Properties xmlns="http://schemas.openxmlformats.org/officeDocument/2006/custom-properties" xmlns:vt="http://schemas.openxmlformats.org/officeDocument/2006/docPropsVTypes"/>
</file>