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t>Stand: 24 oktober 2026.</w:t>
      </w:r>
    </w:p>
    <w:p>
      <w:pPr/>
      <w:r>
        <w:t>Opslagwijziging van 23 oktober 2026. De 32.353 openbare NDFF-moswaarnemingen uit 1940–2025 en 28.643 openbare NDFF-korstmoswaarnemingen uit 1936–2025 staan nu als volledige bronregels in Meijendel.mossen_waarneming en Meijendel.korstmossen_waarneming. De overige 749.834 openbare regels blijven in ndff_open_waarneming. Een smal register verbindt de 810.830 unieke openbare identiteiten met precies één fysieke tabel; het bewaart geen tweede volledige waarneming. De vroegere ID-only-tabellen ndff_mossen en ndff_korstmossen zijn verwijderd. De afzonderlijke BLWG-formulieren en hun resultaten, de bestaande PQ-kwalificaties en de afgeschermde exacte geometrieën zijn behouden. Dit is een opslagverbetering, geen nieuwe bron of bewijs voor extra trends.</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rPr>
        <w:t>Gerichte mos- en korstmosvergelijking, 23 oktober 2026.</w:t>
      </w:r>
      <w:r>
        <w:t xml:space="preserve"> Van 10.903 openbare NDFF-mosregels en 2.998 openbare NDFF-korstmosregels met mogelijke PQ-herkomst uit 1981–2025 passen er respectievelijk 3.020 en 936 strikt één-op-één op een provinciale taxonregel: datum, taxon, bedekkingsklasse en ligging van het provinciepunt binnen de NDFF-polygoon stemmen overeen. Deze 3.956 NDFF-regels vertegenwoordigen 3.615 verschillende bronsignaturen en 3.615 provinciale taxonregels in 770 opnamen; 341 signaturen zijn in NDFF dubbel onder de protocollen 12.007 en 12.202 geregistreerd. Nog 228 regels hebben een nabije één-op-één-kandidaat binnen 8 meter. Een oorspronkelijke gedeelde opname-ID ontbreekt, zodat dit sterke inhoudelijke aanwijzingen voor dubbeling zijn, geen bewezen exacte bronidentiteiten. De overige kandidaten zijn niet automatisch onafhankelijk: 292 hebben meerdere passende koppelingen, 14 een afwijkende bedekking, 3.128 alleen een gelijke datum en soort op een andere plaats en 6.283 geen gelijke datum-soortcombinatie. De provinciale PQ-reeks blijft leidend; deze NDFF-regels worden niet als extra PQ-metingen of als zelfstandige trenddata opgeteld. De volledige beslisregels en alle 13.901 uitkomsten per NDFF-ID staan in docs/bronnen/audits/NDFF_PQ_MOS_KORSTMOS_VERGELIJKING.md en gis/audit/ndff_pq_mos_korstmos_audit_v1.csv. Er zijn geen bronregels, geometrieën of bestaande PQ-statussen gewijzigd.</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Primaire BLWG-bron, aangevuld 23 oktober 2026.</w:t>
      </w:r>
      <w:r>
        <w:t xml:space="preserve"> </w:t>
      </w:r>
      <w:r>
        <w:t xml:space="preserve">De tweede Excel-levering bevat twaalf plots, 44 afzonderlijke telformulieren met een eigen</w:t>
      </w:r>
      <w:r>
        <w:t xml:space="preserve"> </w:t>
      </w:r>
      <w:r>
        <w:rPr>
          <w:rStyle w:val="VerbatimChar"/>
        </w:rPr>
        <w:t xml:space="preserve">kopid</w:t>
      </w:r>
      <w:r>
        <w:t xml:space="preserve"> </w:t>
      </w:r>
      <w:r>
        <w:t xml:space="preserve">en waarnemer, en 384 positieve soortregels uit 2000–2025. Vier vaste plots zijn onderzocht in de veldjaren 2000, 2006, 2011, 2015, 2020 en 2025. Acht andere locaties zijn eenmalig onderzocht: twee in 2015, vier in 2018 en twee in 2021. De zes op 23 oktober toegevoegde locaties verklaren precies 92 nieuwe bronregels (36 uit 2015, 56 uit 2018) en twaalf afzonderlijke waarnemersformulieren. De vier vaste plots hebben een WKT-begrenzing; de acht eenmalige locaties hebben alleen RD-coördinaten, afmetingen en een opgegeven oppervlakte. De oorspronkelijke kolom</w:t>
      </w:r>
      <w:r>
        <w:t xml:space="preserve"> </w:t>
      </w:r>
      <w:r>
        <w:rPr>
          <w:rStyle w:val="VerbatimChar"/>
        </w:rPr>
        <w:t xml:space="preserve">Kwantiteit</w:t>
      </w:r>
      <w:r>
        <w:t xml:space="preserve"> </w:t>
      </w:r>
      <w:r>
        <w:t>bevat de klassen 1, 2, 3, 5 en 6. Gebruik voor analyses de velddatum: bij 40 van de 44 formulieren ligt het rapportagejaar één jaar eerder; bij de vier formulieren uit 2006 is het gelijk aan het veldjaar.</w:t>
      </w:r>
    </w:p>
    <w:p>
      <w:pPr>
        <w:pStyle w:val="BodyText"/>
      </w:pPr>
      <w:r>
        <w:rPr>
          <w:b/>
          <w:bCs/>
        </w:rPr>
        <w:t xml:space="preserve">Vergelijking met NDFF.</w:t>
      </w:r>
      <w:r>
        <w:t xml:space="preserve"> </w:t>
      </w:r>
      <w:r>
        <w:t xml:space="preserve">Alle 384 BLWG-bronregels uit 2000–2025 zijn per plot, velddatum en taxon vergeleken met NDFF. Na omzetting van drie gedocumenteerde naamsparen komen de 364 niet-gevoelige regels als multiverzameling exact overeen met 364 openbare NDFF-regels: nul ontbrekend, nul extra. De twintig gevoelige</w:t>
      </w:r>
      <w:r>
        <w:t xml:space="preserve"> </w:t>
      </w:r>
      <w:r>
        <w:rPr>
          <w:i/>
          <w:iCs/>
        </w:rPr>
        <w:t xml:space="preserve">Usnea articulata</w:t>
      </w:r>
      <w:r>
        <w:t xml:space="preserve">-regels komen per plotjaar in aantal overeen met de beveiligde levering. De zes nageleverde locaties verklaren de eerdere kloof van 92 regels.</w:t>
      </w:r>
      <w:r>
        <w:t xml:space="preserve"> </w:t>
      </w:r>
      <w:r>
        <w:rPr>
          <w:rStyle w:val="VerbatimChar"/>
        </w:rPr>
        <w:t xml:space="preserve">kopid</w:t>
      </w:r>
      <w:r>
        <w:t xml:space="preserve"> </w:t>
      </w:r>
      <w:r>
        <w:t xml:space="preserve">onderscheidt de originele waarnemersformulieren. Van de openbare regels konden 210 rechtstreeks aan een NDFF-ID worden gekoppeld; voor 154 regels is plot-datum-soort niet uniek en blijft de relatie op groepsniveau. Bij de beschermde regels zijn veertien directe en zes groepskoppelingen vastgelegd. De bestaande NDFF-waarnemingen zijn niet als nieuwe waarnemingen ingevoerd en blijven ongewijzigd.</w:t>
      </w:r>
    </w:p>
    <w:p>
      <w:pPr>
        <w:pStyle w:val="BodyText"/>
      </w:pPr>
      <w:r>
        <w:rPr>
          <w:b/>
          <w:bCs/>
        </w:rPr>
        <w:t xml:space="preserve">Wat kan nu?</w:t>
      </w:r>
      <w:r>
        <w:t xml:space="preserve"> </w:t>
      </w:r>
      <w:r>
        <w:t xml:space="preserve">De vier vaste korstmossenplots uit 2000–2025 geven zes meetronden en 25 in die reeks aangetroffen taxa. De oorspronkelijke formuliermatrix bevat 790 openbare formulier-taxonregels, waaronder 426 nullen voor de 24 niet-gevoelige vaste-plot-taxa. Dit zijn andere teleenheden dan de eerdere NDFF-afgeleide matrix van 643 regels met 356 nullen per samengenomen plotbezoek: beide mogen niet worden opgeteld. Voor de beschermde</w:t>
      </w:r>
      <w:r>
        <w:t xml:space="preserve"> </w:t>
      </w:r>
      <w:r>
        <w:rPr>
          <w:i/>
          <w:iCs/>
        </w:rPr>
        <w:t xml:space="preserve">Usnea articulata</w:t>
      </w:r>
      <w:r>
        <w:t xml:space="preserve"> </w:t>
      </w:r>
      <w:r>
        <w:t xml:space="preserve">staan afzonderlijk 28 formulier-taxonregels, waarvan acht nullen, in het lokale beveiligde schema. De acht eenmalige locaties blijven uitsluitend aanwezigheid en hebben geen nullen. De lokale reeks ondersteunt vergelijking van aanwezigheid en ordinale bedekking op de vier plots, niet automatisch een gebiedsbrede populatietrend of causaal beheereffect. De mossenlaag bevat 354 positieve combinaties uit 2000–2011 en geen nullen; zonder oorspronkelijke kopgegevens is zij verspreidingscontext, geen zelfstandige lokale tijdreeks.</w:t>
      </w:r>
    </w:p>
    <w:p>
      <w:pPr/>
      <w:r>
        <w:t>Analysecontrole, 24 oktober 2026. De 44 formulieren vormen 32 locatie-meetjaren; twaalf daarvan hebben twee waarnemersformulieren. Na samenvoegen per locatie, veldjaar en brontaxon blijven 643 openbare combinaties over: 287 met aanwezigheid en 356 met een echte nul. Van de 24 locatie-meetjaren op de vier vaste plots zijn er 576 openbare taxoncombinaties: 220 aanwezig en 356 nul. Bij negen combinaties verschillen de formulieren over aanwezigheid; bij acht vaste-plotcombinaties verschilt de positieve hoeveelheidscode. Bij de acht eenmalige locaties komen nog acht codeverschillen voor, maar geen nullen. Een soort geldt in een meetjaar als aanwezig zodra één formulier haar meldt; alleen als alle formulieren voor die soort nul zijn, geldt de samengenomen meetronde als nul. Verschillende oorspronkelijke codes blijven als verschil herkenbaar; de ordinale codes 1, 2, 3, 5 en 6 worden niet opgeteld of gemiddeld. Het meetjaar komt uit de velddatum; het rapportagejaar wijkt bij 40 van de 44 formulieren een jaar af. De herhaalbare alleen-lezen-SELECT-query's staan in gis/scripts/analyse_blwg_mossen_korstmossen.sql. De provinciale PQ-reeks bevat daarnaast 7.753 positieve mosregels en 1.905 positieve korstmosregels uit 1981–2025; die blijven een aparte primaire vegetatiereeks, niet extra BLWG-tellingen. De NDFF-mosreconstructie bevat zeven hokinventarisaties en 354 positieve taxoncombinaties uit 2000–2011, zonder echte nullen. Niet-gematchte NDFF-regels worden daarom niet stilzwijgend als onafhankelijke meetronden meegeteld.</w:t>
      </w:r>
    </w:p>
    <w:p>
      <w:pPr>
        <w:pStyle w:val="BodyText"/>
      </w:pPr>
      <w:r>
        <w:rPr>
          <w:b/>
          <w:bCs/>
        </w:rPr>
        <w:t xml:space="preserve">Opslag en vervolg.</w:t>
      </w:r>
      <w:r>
        <w:t xml:space="preserve"> </w:t>
      </w:r>
      <w:r>
        <w:t xml:space="preserve">De tien eerder uit NDFF afgeleide tabellen in de levende lokale</w:t>
      </w:r>
      <w:r>
        <w:t xml:space="preserve"> </w:t>
      </w:r>
      <w:r>
        <w:rPr>
          <w:rStyle w:val="VerbatimChar"/>
        </w:rPr>
        <w:t xml:space="preserve">Meijendel</w:t>
      </w:r>
      <w:r>
        <w:t xml:space="preserve">-database heten</w:t>
      </w:r>
      <w:r>
        <w:t xml:space="preserve"> </w:t>
      </w:r>
      <w:r>
        <w:rPr>
          <w:rStyle w:val="VerbatimChar"/>
        </w:rPr>
        <w:t xml:space="preserve">korstmossen_*</w:t>
      </w:r>
      <w:r>
        <w:t xml:space="preserve"> </w:t>
      </w:r>
      <w:r>
        <w:t xml:space="preserve">en</w:t>
      </w:r>
      <w:r>
        <w:t xml:space="preserve"> </w:t>
      </w:r>
      <w:r>
        <w:rPr>
          <w:rStyle w:val="VerbatimChar"/>
        </w:rPr>
        <w:t xml:space="preserve">mossen_*</w:t>
      </w:r>
      <w:r>
        <w:t xml:space="preserve">, zonder</w:t>
      </w:r>
      <w:r>
        <w:t xml:space="preserve"> </w:t>
      </w:r>
      <w:r>
        <w:rPr>
          <w:rStyle w:val="VerbatimChar"/>
        </w:rPr>
        <w:t xml:space="preserve">ndff_</w:t>
      </w:r>
      <w:r>
        <w:t xml:space="preserve">-voorvoegsel. De primaire BLWG-levering is op 23 oktober 2026 daarnaast in zes afzonderlijke</w:t>
      </w:r>
      <w:r>
        <w:t xml:space="preserve"> </w:t>
      </w:r>
      <w:r>
        <w:rPr>
          <w:rStyle w:val="VerbatimChar"/>
        </w:rPr>
        <w:t xml:space="preserve">korstmossen_bron*</w:t>
      </w:r>
      <w:r>
        <w:t xml:space="preserve">-tabellen in</w:t>
      </w:r>
      <w:r>
        <w:t xml:space="preserve"> </w:t>
      </w:r>
      <w:r>
        <w:rPr>
          <w:rStyle w:val="VerbatimChar"/>
        </w:rPr>
        <w:t xml:space="preserve">Meijendel</w:t>
      </w:r>
      <w:r>
        <w:t xml:space="preserve"> </w:t>
      </w:r>
      <w:r>
        <w:t xml:space="preserve">en vier</w:t>
      </w:r>
      <w:r>
        <w:t xml:space="preserve"> </w:t>
      </w:r>
      <w:r>
        <w:rPr>
          <w:rStyle w:val="VerbatimChar"/>
        </w:rPr>
        <w:t xml:space="preserve">blwg_korstmossen_*</w:t>
      </w:r>
      <w:r>
        <w:t xml:space="preserve">-tabellen in</w:t>
      </w:r>
      <w:r>
        <w:t xml:space="preserve"> </w:t>
      </w:r>
      <w:r>
        <w:rPr>
          <w:rStyle w:val="VerbatimChar"/>
        </w:rPr>
        <w:t xml:space="preserve">Meijendel_ndff_secure</w:t>
      </w:r>
      <w:r>
        <w:t xml:space="preserve"> </w:t>
      </w:r>
      <w:r>
        <w:t xml:space="preserve">opgenomen. Het origineel staat ongewijzigd op de T7 onder</w:t>
      </w:r>
      <w:r>
        <w:t xml:space="preserve"> </w:t>
      </w:r>
      <w:r>
        <w:rPr>
          <w:rStyle w:val="VerbatimChar"/>
        </w:rPr>
        <w:t xml:space="preserve">Meijendel data/NDFF/BLWG/</w:t>
      </w:r>
      <w:r>
        <w:t xml:space="preserve">; SHA-256:</w:t>
      </w:r>
      <w:r>
        <w:t xml:space="preserve"> </w:t>
      </w:r>
      <w:r>
        <w:rPr>
          <w:rStyle w:val="VerbatimChar"/>
        </w:rPr>
        <w:t xml:space="preserve">d90ea5f85e35f4190bdc87c98f74201ec77b5bad27632942ca0b2cd91488a32f</w:t>
      </w:r>
      <w:r>
        <w:t xml:space="preserve">. Alleen de vier beschermde plotlocaties, twintig beschermde positieve regels en hun acht nullen zijn in het beveiligde schema opgeslagen. De overige acht bronpunten staan in</w:t>
      </w:r>
      <w:r>
        <w:t xml:space="preserve"> </w:t>
      </w:r>
      <w:r>
        <w:rPr>
          <w:rStyle w:val="VerbatimChar"/>
        </w:rPr>
        <w:t xml:space="preserve">Meijendel</w:t>
      </w:r>
      <w:r>
        <w:t xml:space="preserve">; hun RD-punten zijn niet vanzelf een exact onderzocht vlak. De 31 BLWG-bronnamen zijn met behoud van de oorspronkelijke spelling voorlopig aan het centrale taxonregister gekoppeld. De eerdere NDFF-matrix blijft als afzonderlijke, secundaire reconstructie bestaan; analyses kiezen één telbasis en tellen beide niet op.</w:t>
      </w:r>
      <w:r>
        <w:t xml:space="preserve"> </w:t>
      </w:r>
      <w:r>
        <w:rPr>
          <w:rStyle w:val="VerbatimChar"/>
        </w:rPr>
        <w:t xml:space="preserve">De voormalige ID-only-tabellen ndff_korstmossen en ndff_mossen zijn op 23 oktober 2026 verwijderd na fysieke verhuizing van de volledige openbare NDFF-regels naar korstmossen_waarneming en mossen_waarneming. </w:t>
      </w:r>
      <w:r/>
      <w:r/>
      <w:r/>
      <w:r>
        <w:rPr>
          <w:rStyle w:val="VerbatimChar"/>
        </w:rPr>
      </w:r>
      <w:r/>
      <w:r>
        <w:t>Voor protocol 02.204 meldde BLWG dat, voor zover bekend, geen oorspronkelijke kopgegevens worden bijgehouden. Vraag daarvoor nu niet opnieuw gegevens op.</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5">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6">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7">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8" w:name="_c540a83ee65aaec11aa446aec0815d16fd21e21"/>
      <w:r>
        <w:t xml:space="preserve">4. Verwachte aanvullingen</w:t>
      </w:r>
      <w:bookmarkEnd w:id="88"/>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9" w:name="_422e6271160c2b04a3b59fb5b59cfcc2e3afc55"/>
      <w:r>
        <w:t xml:space="preserve">5. Bronnen die niet verder worden uitgewerkt</w:t>
      </w:r>
      <w:bookmarkEnd w:id="89"/>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0" w:name="_b05dec49988a12f7955d21ff17f1c91e4d061eb"/>
      <w:r>
        <w:t xml:space="preserve">6. Gebruik van dit register</w:t>
      </w:r>
      <w:bookmarkEnd w:id="90"/>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1" w:name="_67781990bcb7d7d43cc312a7ef48f37a1f83265"/>
      <w:r>
        <w:t xml:space="preserve">7. Actieplan</w:t>
      </w:r>
      <w:bookmarkEnd w:id="91"/>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2" w:name="_d7f889e2150e602eaeb242f489896c9b52af547"/>
      <w:r>
        <w:t xml:space="preserve">Fase 1 — openbare, direct toetsbare bronnen</w:t>
      </w:r>
      <w:bookmarkEnd w:id="92"/>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3" w:name="_a67120beb48c3916f8a53c623f303ce8b8a6005"/>
      <w:r>
        <w:t xml:space="preserve">Fase 2 — reeksen met grote historische of trendwaarde</w:t>
      </w:r>
      <w:bookmarkEnd w:id="93"/>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4" w:name="_c96f79f2027e81b7ab280f9bf69df5af8bdf464"/>
      <w:r>
        <w:t xml:space="preserve">Fase 3 — reeds bekende bronhouders en contextdatasets</w:t>
      </w:r>
      <w:bookmarkEnd w:id="94"/>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5" w:name="_d490f73b19661b8ff0d346b94e527be91e989c7"/>
      <w:r>
        <w:t xml:space="preserve">Vaste werkwijze per bron</w:t>
      </w:r>
      <w:bookmarkEnd w:id="95"/>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6" w:name="_1e50ec235a164d1e043cda4cec7be66fb154af3"/>
      <w:r>
        <w:t xml:space="preserve">Dekking van de internetcontrole</w:t>
      </w:r>
      <w:bookmarkEnd w:id="96"/>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7" w:name="_5001ec8ecf742000e2504f4f268bea177f3f158"/>
      <w:r>
        <w:t xml:space="preserve">Achterliggende verantwoording</w:t>
      </w:r>
      <w:bookmarkEnd w:id="97"/>
    </w:p>
    <w:p>
      <w:pPr>
        <w:pStyle w:val="Compact"/>
        <w:numPr>
          <w:ilvl w:val="0"/>
          <w:numId w:val="1005"/>
        </w:numPr>
      </w:pPr>
      <w:hyperlink r:id="rId98">
        <w:r>
          <w:rPr>
            <w:rStyle w:val="Hyperlink"/>
          </w:rPr>
          <w:t xml:space="preserve">NDFF-staging en bronvergelijking</w:t>
        </w:r>
      </w:hyperlink>
    </w:p>
    <w:p>
      <w:pPr>
        <w:pStyle w:val="Compact"/>
        <w:numPr>
          <w:ilvl w:val="0"/>
          <w:numId w:val="1005"/>
        </w:numPr>
      </w:pPr>
      <w:hyperlink r:id="rId99">
        <w:r>
          <w:rPr>
            <w:rStyle w:val="Hyperlink"/>
          </w:rPr>
          <w:t xml:space="preserve">NDFF-protocolaudit</w:t>
        </w:r>
      </w:hyperlink>
    </w:p>
    <w:p>
      <w:pPr>
        <w:pStyle w:val="Compact"/>
        <w:numPr>
          <w:ilvl w:val="0"/>
          <w:numId w:val="1005"/>
        </w:numPr>
      </w:pPr>
      <w:hyperlink r:id="rId100">
        <w:r>
          <w:rPr>
            <w:rStyle w:val="Hyperlink"/>
          </w:rPr>
          <w:t xml:space="preserve">Scheiding tussen Meijendel en Meijendel_bronnen</w:t>
        </w:r>
      </w:hyperlink>
    </w:p>
    <w:p>
      <w:pPr>
        <w:pStyle w:val="Compact"/>
        <w:numPr>
          <w:ilvl w:val="0"/>
          <w:numId w:val="1005"/>
        </w:numPr>
      </w:pPr>
      <w:hyperlink r:id="rId101">
        <w:r>
          <w:rPr>
            <w:rStyle w:val="Hyperlink"/>
          </w:rPr>
          <w:t xml:space="preserve">Ruimtelijke audit van contextbronnen</w:t>
        </w:r>
      </w:hyperlink>
    </w:p>
    <w:p>
      <w:pPr>
        <w:pStyle w:val="Compact"/>
        <w:numPr>
          <w:ilvl w:val="0"/>
          <w:numId w:val="1005"/>
        </w:numPr>
      </w:pPr>
      <w:hyperlink r:id="rId102">
        <w:r>
          <w:rPr>
            <w:rStyle w:val="Hyperlink"/>
          </w:rPr>
          <w:t xml:space="preserve">Importbesluit duinvalleivegetatie</w:t>
        </w:r>
      </w:hyperlink>
    </w:p>
    <w:p>
      <w:pPr>
        <w:pStyle w:val="Compact"/>
        <w:numPr>
          <w:ilvl w:val="0"/>
          <w:numId w:val="1005"/>
        </w:numPr>
      </w:pPr>
      <w:hyperlink r:id="rId103">
        <w:r>
          <w:rPr>
            <w:rStyle w:val="Hyperlink"/>
          </w:rPr>
          <w:t xml:space="preserve">Ruimtelijke bronlagen en toelatingsregels</w:t>
        </w:r>
      </w:hyperlink>
    </w:p>
    <w:p>
      <w:pPr>
        <w:pStyle w:val="Compact"/>
        <w:numPr>
          <w:ilvl w:val="0"/>
          <w:numId w:val="1005"/>
        </w:numPr>
      </w:pPr>
      <w:hyperlink r:id="rId104">
        <w:r>
          <w:rPr>
            <w:rStyle w:val="Hyperlink"/>
          </w:rPr>
          <w:t xml:space="preserve">Beveiligde NDFF-ontvangst</w:t>
        </w:r>
      </w:hyperlink>
    </w:p>
    <w:p>
      <w:pPr>
        <w:pStyle w:val="Heading2"/>
      </w:pPr>
      <w:bookmarkStart w:id="105" w:name="_c4c5e83029c8593231be35dbc87830101c46a33"/>
      <w:r>
        <w:t xml:space="preserve">Integratie begrazing en toegankelijkheid op 16 oktober 2026</w:t>
      </w:r>
      <w:bookmarkEnd w:id="105"/>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6">
        <w:r>
          <w:rPr>
            <w:rStyle w:val="Hyperlink"/>
          </w:rPr>
          <w:t xml:space="preserve">https://dwc.tdwg.org/terms/</w:t>
        </w:r>
      </w:hyperlink>
      <w:r>
        <w:t xml:space="preserve">) en TDWG TCS (</w:t>
      </w:r>
      <w:hyperlink r:id="rId107">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08" w:name="_bbb680e0e85eb3eb154bfc12bc9c8fc0b3d6d97"/>
      <w:r>
        <w:t xml:space="preserve">Rechtstreekse aansluiting zonder compatibiliteitsviews</w:t>
      </w:r>
      <w:bookmarkEnd w:id="108"/>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p>
      <w:pPr>
        <w:pStyle w:val="Heading1"/>
        <w:pageBreakBefore/>
      </w:pPr>
      <w:r>
        <w:t>Archivering van herstelkopieën op 23 oktober 2026</w:t>
      </w:r>
    </w:p>
    <w:p>
      <w:pPr>
        <w:pStyle w:val="BodyText"/>
      </w:pPr>
      <w:r>
        <w:t>De 60 herstelbestanden uit /Users/ton/Documents/Backups zijn op 23 oktober 2026 ondergebracht in /Volumes/T7 Data/Home_Ton/Meijendel data/Backups-archief. De oorspronkelijke submappen zijn behouden: Meijendel bevat 59 SQL-bestanden van 2–3 oktober 2026 (18.190.535.905 bytes); Zotero/Meijendel/2026-09-25 bevat één databasekopie van 25 september 2026 (84.246.528 bytes). Samen: 18.274.782.433 bytes.</w:t>
      </w:r>
    </w:p>
    <w:p>
      <w:pPr>
        <w:pStyle w:val="BodyText"/>
      </w:pPr>
      <w:r>
        <w:t>Alle 60 bestanden zijn vóór verwijdering uit iCloud per bestand op omvang en SHA-256 vergeleken met de T7-kopie. Het controlebestand CONTROLE_SHA256.json in de archiefmap bevat de relatieve bestandsnamen, aantallen bytes en controlewaarden. De bestanden behouden hun betekenis als historische herstelpunten vóór wijzigingen; dit is geen actuele volledige back-up van de levende databases. De Zotero-databasekopie bevat geen afzonderlijke bijlagebestanden.</w:t>
      </w:r>
    </w:p>
    <w:p>
      <w:pPr>
        <w:pStyle w:val="BodyText"/>
      </w:pPr>
      <w:r>
        <w:t>De eerdere locatie onder Documents viel onder iCloud. De archiefmap op de T7 staat buiten iCloud. De ecologische bronbestanden, inhoud, bronbeoordelingen en analytische toelatingsstatussen zijn door deze archivering niet gewijzigd. Dit betreft herstelkopieën van Meijendel en Zotero; het verplaatst geen gegevens uit Meijendel_bronnen en wijzigt geen kandidaatbron. De oude locatie wordt niet als back-updoel hergebruikt.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2026-10-23T10:28:37Z</dcterms:created>
  <dcterms:modified xsi:type="dcterms:W3CDTF">2026-10-23T10:28:37Z</dcterms:modified>
</cp:coreProperties>
</file>

<file path=docProps/custom.xml><?xml version="1.0" encoding="utf-8"?>
<Properties xmlns="http://schemas.openxmlformats.org/officeDocument/2006/custom-properties" xmlns:vt="http://schemas.openxmlformats.org/officeDocument/2006/docPropsVTypes"/>
</file>