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37</w:t>
            </w:r>
          </w:p>
        </w:tc>
        <w:tc>
          <w:tcPr/>
          <w:p>
            <w:pPr>
              <w:pStyle w:val="Compact"/>
            </w:pPr>
            <w:r>
              <w:t xml:space="preserve">25 lokaal geraadpleegde Zotero-bronnen en twaalf officiële of institutionele internetbronnen, ieder met type, datum, status en raadpleegdatum. KIWA Mededeling 114 lokaliseert infiltratieplas 27.2; de officiële PIM-bijlage uit 2013 beschrijft de werkzaamheden en werkperiode.</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92</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143</w:t>
            </w:r>
          </w:p>
        </w:tc>
        <w:tc>
          <w:tcPr/>
          <w:p>
            <w:pPr>
              <w:pStyle w:val="Compact"/>
            </w:pPr>
            <w:r>
              <w:t>Helmduinen is gekoppeld aan M15 en M16; M17a is retroactief verwijderd. Meeuwenduin en Prinsenduin hebben samen zeven relaties. Het maaibeheer in Ruygenhoek, Lange Strook en De Loopert heeft vijf relaties. Maatregel 22h heeft zes relaties.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186</w:t>
            </w:r>
          </w:p>
        </w:tc>
        <w:tc>
          <w:tcPr/>
          <w:p>
            <w:pPr>
              <w:pStyle w:val="Compact"/>
            </w:pPr>
            <w:r>
              <w:t xml:space="preserve">Bronvaste plot-jaarregels voor 1967–1969, 1972–1975, 1988–1991, 1993, 1997, 2002, 2005–2006, 2013–2014 en 2016–2025.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2026-10-15T18:46:56Z</dcterms:created>
  <dcterms:modified xsi:type="dcterms:W3CDTF">2026-10-15T18:46:56Z</dcterms:modified>
</cp:coreProperties>
</file>

<file path=docProps/custom.xml><?xml version="1.0" encoding="utf-8"?>
<Properties xmlns="http://schemas.openxmlformats.org/officeDocument/2006/custom-properties" xmlns:vt="http://schemas.openxmlformats.org/officeDocument/2006/docPropsVTypes"/>
</file>