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81CB" w14:textId="2597FF1D" w:rsidR="00FE0138" w:rsidRPr="001901D9" w:rsidRDefault="00FE0138" w:rsidP="00B77CC5">
      <w:pPr>
        <w:spacing w:before="100" w:beforeAutospacing="1" w:after="100" w:afterAutospacing="1" w:line="360" w:lineRule="auto"/>
        <w:contextualSpacing/>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CAPÍTULO 7  MARA: MATRIZ DE AVALIAÇÃO DE RISCO ALGORÍTMICO (</w:t>
      </w:r>
    </w:p>
    <w:p w14:paraId="08CA1A28" w14:textId="1A229E01" w:rsidR="00FE0138" w:rsidRPr="001901D9" w:rsidRDefault="00FE0138" w:rsidP="00B77CC5">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7.1 O percurso de construção e as trilhas abertas aos Comitês de Ética em Pesquisa</w:t>
      </w:r>
    </w:p>
    <w:p w14:paraId="4C5A2A9A" w14:textId="77777777" w:rsidR="00FE0138" w:rsidRPr="001901D9" w:rsidRDefault="00FE0138" w:rsidP="00B77CC5">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construção de um instrumento de avaliação ética para protocolos de pesquisa que utilizam inteligência artificial exige, antes de qualquer decisão metodológica, uma escolha de postura: o instrumento existe para apoiar o julgamento do CEP ou para substituí-lo?</w:t>
      </w:r>
    </w:p>
    <w:p w14:paraId="3A212705" w14:textId="48279104" w:rsidR="00FE0138" w:rsidRPr="001901D9" w:rsidRDefault="00FE0138" w:rsidP="00B77CC5">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Este guia responde a essa pergunta sem ambiguidade. As matrizes apresentadas nos Apêndices A e B são ferramentas de apoio à deliberação. Elas não são novas normas, não criam obrigações além das já estabelecidas no âmbito da INAEP, e não têm caráter vinculante. Sua adoção é uma escolha institucional de cada Comitê de Ética em Pesquisa. O que elas oferecem é precisão: um percurso que torna a avaliação mais sistemática, mais documentada e mais justificável perante os participantes da pesquisa e a sociedade.</w:t>
      </w:r>
    </w:p>
    <w:p w14:paraId="24E2B2D3" w14:textId="12EA6256" w:rsidR="00FE0138" w:rsidRPr="00FE0138" w:rsidRDefault="00FE0138" w:rsidP="00B77CC5">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Esse posicionamento não é uma concessão, mas uma consequência direta do que a experiência internacional demonstrou. </w:t>
      </w:r>
      <w:r>
        <w:rPr>
          <w:rFonts w:ascii="Times New Roman" w:hAnsi="Times New Roman" w:cs="Times New Roman"/>
          <w:color w:val="000000"/>
        </w:rPr>
        <w:t xml:space="preserve">Nenhum dos oito modelos regulatórios avaliados conseguiu criar um instrumento universal eficaz para todos os contextos institucionais previstos. </w:t>
      </w:r>
      <w:r>
        <w:rPr>
          <w:rFonts w:ascii="Times New Roman" w:eastAsia="Times New Roman" w:hAnsi="Times New Roman" w:cs="Times New Roman"/>
          <w:kern w:val="0"/>
          <w14:ligatures w14:val="none"/>
        </w:rPr>
        <w:t xml:space="preserve">O modelo canadense de Avaliação de Impacto Algorítmico é robusto, mas foi desenhado para serviços públicos governamentais, não para pesquisa com seres humanos (CANADA, 2025). As diretrizes australianas do NHMRC são precisas no tratamento do ciclo de vida, mas não contemplam as especificidades jurídicas da proteção de dados em países de renda média (AUSTRALIA, 2023). </w:t>
      </w:r>
      <w:r>
        <w:rPr>
          <w:rFonts w:ascii="Times New Roman" w:hAnsi="Times New Roman" w:cs="Times New Roman"/>
          <w:color w:val="000000"/>
        </w:rPr>
        <w:t xml:space="preserve">As diretrizes do ICMR indiano são as únicas criadas para orientar CEPs na avaliação de protocolos com IA, mas foram desenvolvidas para um contexto diferente do brasileiro (ICMR, 2023). </w:t>
      </w:r>
      <w:r>
        <w:rPr>
          <w:rFonts w:ascii="Times New Roman" w:eastAsia="Times New Roman" w:hAnsi="Times New Roman" w:cs="Times New Roman"/>
          <w:kern w:val="0"/>
          <w14:ligatures w14:val="none"/>
        </w:rPr>
        <w:t>Cada modelo ofereceu contribuições reais e apresentou lacunas reais. A MARA é a síntese dessas contribuições, ancorada no direito brasileiro e orientada pelo contexto do SUS.</w:t>
      </w:r>
    </w:p>
    <w:p w14:paraId="27F3117C" w14:textId="73D05F75" w:rsidR="00FE0138" w:rsidRPr="00FE0138" w:rsidRDefault="00FE0138" w:rsidP="00B77CC5">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percurso que levou à construção das duas versões que serão apresentadas nas próximas seções foi deliberadamente longo. </w:t>
      </w:r>
      <w:r>
        <w:rPr>
          <w:rFonts w:ascii="Times New Roman" w:hAnsi="Times New Roman" w:cs="Times New Roman"/>
          <w:color w:val="000000"/>
        </w:rPr>
        <w:t xml:space="preserve">A análise considerou cinco eixos de avaliação consagrados internacionalmente e, durante a pesquisa, incluiu contribuições como </w:t>
      </w:r>
      <w:r>
        <w:rPr>
          <w:rFonts w:ascii="Times New Roman" w:eastAsia="Times New Roman" w:hAnsi="Times New Roman" w:cs="Times New Roman"/>
          <w:kern w:val="0"/>
          <w14:ligatures w14:val="none"/>
        </w:rPr>
        <w:t>o conceito de Oportunidade de Contestar (Opportunity to Override) a condição real de o profissional contestar o resultado do sistema) da experiência coreana (MFDS, 2023). O direito do participante solicitar a exclusão de seus dados do treinamento do modelo provém do modelo indiano (ICMR, 2023). O Protocolo de Mudança de Algoritmos (</w:t>
      </w:r>
      <w:r>
        <w:rPr>
          <w:rFonts w:ascii="Times New Roman" w:eastAsia="Times New Roman" w:hAnsi="Times New Roman" w:cs="Times New Roman"/>
          <w:i/>
          <w:iCs/>
          <w:kern w:val="0"/>
          <w14:ligatures w14:val="none"/>
        </w:rPr>
        <w:t>Algorithm Change Protocol</w:t>
      </w:r>
      <w:r>
        <w:rPr>
          <w:rFonts w:ascii="Times New Roman" w:eastAsia="Times New Roman" w:hAnsi="Times New Roman" w:cs="Times New Roman"/>
          <w:kern w:val="0"/>
          <w14:ligatures w14:val="none"/>
        </w:rPr>
        <w:t xml:space="preserve">), que trata-se  da responsabilidade do pesquisador de prever como o modelo será retreinado,  decorre da experiência regulatória indiana e japonesa (CDSCO, 2025; PMDA, [s.d.]). O conceito de contexto de uso como etapa prévia </w:t>
      </w:r>
      <w:r>
        <w:rPr>
          <w:rFonts w:ascii="Times New Roman" w:eastAsia="Times New Roman" w:hAnsi="Times New Roman" w:cs="Times New Roman"/>
          <w:kern w:val="0"/>
          <w14:ligatures w14:val="none"/>
        </w:rPr>
        <w:lastRenderedPageBreak/>
        <w:t>obrigatória à classificação de risco da diretriz da agência estadunidense Food and Drug Administration (FDA; 2025). Cada um desses elementos ampliou e qualificou o instrumento final.</w:t>
      </w:r>
    </w:p>
    <w:p w14:paraId="32F28ACE" w14:textId="539A7C27" w:rsidR="00FE0138" w:rsidRPr="00FE0138" w:rsidRDefault="00FE0138" w:rsidP="00DF768B">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resultado desse percurso são duas versões de um mesmo instrumento, com a mesma base ética e o mesmo conjunto de perguntas essenciais. </w:t>
      </w:r>
    </w:p>
    <w:p w14:paraId="1DC3C2A0" w14:textId="411B405B" w:rsidR="00FE0138" w:rsidRPr="00FE0138" w:rsidRDefault="00FE0138" w:rsidP="00F21E99">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Versão A Qualitativa opera por fluxograma sequencial: o CEP percorre cinco eixos em ordem, responde a perguntas de sim ou não, e o nível de risco emerge da combinação das respostas. É um instrumento orientado ao raciocínio. Guia o avaliador sem substituí-lo. </w:t>
      </w:r>
      <w:r>
        <w:rPr>
          <w:rFonts w:ascii="Times New Roman" w:hAnsi="Times New Roman" w:cs="Times New Roman"/>
          <w:color w:val="000000"/>
        </w:rPr>
        <w:t>Esse procedimento é indicado para CEPs que estão começando a se familiarizar com a avaliação de protocolos envolvendo IA, para casos em que os protocolos apresentam menor complexidade técnica, e também quando é prioritário garantir transparência no processo deliberativo em vez de um resultado numericamente preciso. A abordagem do pior cenário, que considera um único eixo em Nível IV como elevador de todo o protocolo, reflete o princípio da precaução presente na ética da pesquisa envolvendo seres humanos (BRASIL, 2012; BRASIL, 2024; BRASIL, 2025).</w:t>
      </w:r>
    </w:p>
    <w:p w14:paraId="0BA5CB96" w14:textId="147FBFCD" w:rsidR="001C3734" w:rsidRPr="00FE0138" w:rsidRDefault="001C3734" w:rsidP="001C3734">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Versão B Quantitativa opera por pontuação ponderada: as mesmas perguntas recebem pesos numéricos diferenciados, distribuídos em sete blocos temáticos, e a soma determina o nível de risco em uma escala de 2</w:t>
      </w:r>
      <w:r w:rsidR="00854055">
        <w:rPr>
          <w:rFonts w:ascii="Times New Roman" w:eastAsia="Times New Roman" w:hAnsi="Times New Roman" w:cs="Times New Roman"/>
          <w:kern w:val="0"/>
          <w14:ligatures w14:val="none"/>
        </w:rPr>
        <w:t>3</w:t>
      </w:r>
      <w:r w:rsidR="00B4718D">
        <w:rPr>
          <w:rFonts w:ascii="Times New Roman" w:eastAsia="Times New Roman" w:hAnsi="Times New Roman" w:cs="Times New Roman"/>
          <w:kern w:val="0"/>
          <w14:ligatures w14:val="none"/>
        </w:rPr>
        <w:t>8</w:t>
      </w:r>
      <w:r>
        <w:rPr>
          <w:rFonts w:ascii="Times New Roman" w:eastAsia="Times New Roman" w:hAnsi="Times New Roman" w:cs="Times New Roman"/>
          <w:kern w:val="0"/>
          <w14:ligatures w14:val="none"/>
        </w:rPr>
        <w:t xml:space="preserve"> pontos. O instrumento orienta à rastreabilidade. Permite identificar onde o risco está concentrado, como as mitigações adotadas o reduziram e como protocolos distintos se comparam entre si. A escolha por essa versão se justifica para CEPs com maior experiência na avaliação de protocolos com IA, para protocolos de alta complexidade técnica e para instituições que precisam documentar e auditar suas decisões com precisão, como hospitais universitários, institutos nacionais de pesquisa e patrocinadores de ensaios clínicos multicêntricos. Os blocos de Impacto e Dados concentram 4</w:t>
      </w:r>
      <w:r w:rsidR="00B4718D">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da pontuação total. Essa concentração expressa a hierarquia de prioridades do instrumento. O que mais importa, em pesquisa com seres humanos, é o que o sistema pode fazer à pessoa participante e como seus dados são tratados.</w:t>
      </w:r>
    </w:p>
    <w:p w14:paraId="0ED530CE" w14:textId="153A6D36" w:rsidR="00FE0138" w:rsidRPr="00FE0138" w:rsidRDefault="00FE0138" w:rsidP="001C3734">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duas versões são compatíveis e complementares. Um CEP pode adotar a Versão A como triagem inicial e recorrer à Versão B para aprofundar a análise de protocolos que a Versão A classifique nos Níveis III ou IV. Um CEP pode adotar a Versão B sistematicamente e usar a Versão A como guia de orientação para pesquisadores que precisam compreender a lógica da avaliação antes de submeter seus protocolos. Um CEP pode, ainda, optar por nenhuma das versões e usar este capítulo como marco conceitual para desenvolver seu próprio instrumento, adaptado às especificidades de sua área temática, de sua estrutura institucional e do perfil dos protocolos que </w:t>
      </w:r>
      <w:r>
        <w:rPr>
          <w:rFonts w:ascii="Times New Roman" w:eastAsia="Times New Roman" w:hAnsi="Times New Roman" w:cs="Times New Roman"/>
          <w:kern w:val="0"/>
          <w14:ligatures w14:val="none"/>
        </w:rPr>
        <w:lastRenderedPageBreak/>
        <w:t xml:space="preserve">recebe. </w:t>
      </w:r>
      <w:r>
        <w:rPr>
          <w:rFonts w:ascii="Times New Roman" w:hAnsi="Times New Roman" w:cs="Times New Roman"/>
          <w:color w:val="000000"/>
        </w:rPr>
        <w:t>A flexibilidade garante a validade do guia. Ignorar a diversidade institucional dos CEPs brasileiros comprometeria seu propósito.</w:t>
      </w:r>
    </w:p>
    <w:p w14:paraId="6294BF45" w14:textId="77777777" w:rsidR="001C3734" w:rsidRDefault="001C3734" w:rsidP="001C3734">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avaliação ética de protocolos com inteligência artificial não pode ser reduzida a uma formalidade. Nenhuma das duas versões da matriz admite esse risco.</w:t>
      </w:r>
    </w:p>
    <w:p w14:paraId="23BE17E5" w14:textId="3CE9D5B9" w:rsidR="00FE0138" w:rsidRPr="00FE0138" w:rsidRDefault="00FE0138" w:rsidP="00CA7988">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IA não é neutra. </w:t>
      </w:r>
      <w:r>
        <w:rPr>
          <w:rFonts w:ascii="Times New Roman" w:hAnsi="Times New Roman" w:cs="Times New Roman"/>
          <w:color w:val="000000"/>
        </w:rPr>
        <w:t xml:space="preserve">Ela assimila os vieses dos dados de treinamento, utiliza lógicas pouco transparentes e gera impactos sobre participantes que nenhum outro método contemporâneo produz com igual escala e rapidez. </w:t>
      </w:r>
      <w:r>
        <w:rPr>
          <w:rFonts w:ascii="Times New Roman" w:eastAsia="Times New Roman" w:hAnsi="Times New Roman" w:cs="Times New Roman"/>
          <w:kern w:val="0"/>
          <w14:ligatures w14:val="none"/>
        </w:rPr>
        <w:t>O CEP que avalia um protocolo com IA não está avaliando uma tecnologia, mas sim o impacto que essa tecnologia pode produzir sobre seres humanos concretos, em contextos concretos, com vulnerabilidades concretas. As matrizes deste guia existem para tornar essa avaliação mais rigorosa. A responsabilidade pela avaliação permanece, integralmente, com os CEPs.</w:t>
      </w:r>
    </w:p>
    <w:p w14:paraId="452BA6B0" w14:textId="77777777" w:rsidR="001C3734" w:rsidRDefault="001C3734" w:rsidP="00FE0138">
      <w:pPr>
        <w:spacing w:after="0" w:line="240" w:lineRule="auto"/>
        <w:rPr>
          <w:rStyle w:val="Strong"/>
        </w:rPr>
      </w:pPr>
    </w:p>
    <w:p w14:paraId="4C9EC529" w14:textId="645B4D42" w:rsidR="001200C1" w:rsidRDefault="00FE0138" w:rsidP="001200C1">
      <w:pPr>
        <w:spacing w:after="0" w:line="360" w:lineRule="auto"/>
        <w:contextualSpacing/>
        <w:jc w:val="both"/>
        <w:rPr>
          <w:rFonts w:ascii="Times New Roman" w:hAnsi="Times New Roman" w:cs="Times New Roman"/>
        </w:rPr>
      </w:pPr>
      <w:r>
        <w:rPr>
          <w:rStyle w:val="Strong"/>
          <w:rFonts w:ascii="Times New Roman" w:hAnsi="Times New Roman" w:cs="Times New Roman"/>
        </w:rPr>
        <w:t>7.2 Fundamentos, fontes e descrição das matrizes</w:t>
      </w:r>
    </w:p>
    <w:p w14:paraId="7B66A62D" w14:textId="3EDA5EF9" w:rsidR="00823501" w:rsidRDefault="00823501" w:rsidP="00823501">
      <w:pPr>
        <w:spacing w:after="0" w:line="360" w:lineRule="auto"/>
        <w:ind w:firstLine="720"/>
        <w:contextualSpacing/>
        <w:jc w:val="both"/>
        <w:rPr>
          <w:rStyle w:val="Strong"/>
          <w:rFonts w:ascii="Times New Roman" w:hAnsi="Times New Roman" w:cs="Times New Roman"/>
          <w:b w:val="0"/>
          <w:bCs w:val="0"/>
        </w:rPr>
      </w:pPr>
      <w:r>
        <w:rPr>
          <w:rStyle w:val="Strong"/>
          <w:rFonts w:ascii="Times New Roman" w:hAnsi="Times New Roman" w:cs="Times New Roman"/>
          <w:b w:val="0"/>
          <w:bCs w:val="0"/>
        </w:rPr>
        <w:t xml:space="preserve">Esta seção apresenta as bases teóricas, normativas e metodológicas que sustentam as duas versões da MARA </w:t>
      </w:r>
      <w:r w:rsidR="000368FE">
        <w:rPr>
          <w:rStyle w:val="Strong"/>
          <w:rFonts w:ascii="Times New Roman" w:hAnsi="Times New Roman" w:cs="Times New Roman"/>
          <w:b w:val="0"/>
          <w:bCs w:val="0"/>
        </w:rPr>
        <w:t>(</w:t>
      </w:r>
      <w:r>
        <w:rPr>
          <w:rStyle w:val="Strong"/>
          <w:rFonts w:ascii="Times New Roman" w:hAnsi="Times New Roman" w:cs="Times New Roman"/>
          <w:b w:val="0"/>
          <w:bCs w:val="0"/>
        </w:rPr>
        <w:t>Matriz de Avaliação de Risco Algorítmico</w:t>
      </w:r>
      <w:r w:rsidR="000368FE">
        <w:rPr>
          <w:rStyle w:val="Strong"/>
          <w:rFonts w:ascii="Times New Roman" w:hAnsi="Times New Roman" w:cs="Times New Roman"/>
          <w:b w:val="0"/>
          <w:bCs w:val="0"/>
        </w:rPr>
        <w:t>)</w:t>
      </w:r>
      <w:r>
        <w:rPr>
          <w:rStyle w:val="Strong"/>
          <w:rFonts w:ascii="Times New Roman" w:hAnsi="Times New Roman" w:cs="Times New Roman"/>
          <w:b w:val="0"/>
          <w:bCs w:val="0"/>
        </w:rPr>
        <w:t>. Cada escolha de desenho tem fundamento em experiências regulatórias documentadas e no marco jurídico brasileiro. Isso vale para os eixos, as perguntas, os pesos e a lógica de chegada ao nível de risco. A descrição das duas versões está organizada em subseções independentes. A seção 7.2.1 trata da Versão A Qualitativa. A seção 7.2.2 trata da Versão B Quantitativa. As duas versões compartilham a mesma base ética e o mesmo conjunto de perguntas essenciais. O que as distingue é a lógica de operação. Essa distinção determina o público e o contexto para os quais cada versão é mais adequada.</w:t>
      </w:r>
    </w:p>
    <w:p w14:paraId="55D6E604" w14:textId="70D1E20F" w:rsidR="00F7231B" w:rsidRPr="00823501" w:rsidRDefault="00F7231B" w:rsidP="00823501">
      <w:pPr>
        <w:spacing w:after="0" w:line="360" w:lineRule="auto"/>
        <w:ind w:firstLine="720"/>
        <w:contextualSpacing/>
        <w:jc w:val="both"/>
        <w:rPr>
          <w:rStyle w:val="Strong"/>
          <w:rFonts w:ascii="Times New Roman" w:hAnsi="Times New Roman" w:cs="Times New Roman"/>
          <w:b w:val="0"/>
          <w:bCs w:val="0"/>
        </w:rPr>
      </w:pPr>
      <w:r>
        <w:rPr>
          <w:rStyle w:val="Strong"/>
          <w:rFonts w:ascii="Times New Roman" w:hAnsi="Times New Roman" w:cs="Times New Roman"/>
          <w:b w:val="0"/>
          <w:bCs w:val="0"/>
        </w:rPr>
        <w:t>M</w:t>
      </w:r>
      <w:r w:rsidR="000368FE">
        <w:rPr>
          <w:rStyle w:val="Strong"/>
          <w:rFonts w:ascii="Times New Roman" w:hAnsi="Times New Roman" w:cs="Times New Roman"/>
          <w:b w:val="0"/>
          <w:bCs w:val="0"/>
        </w:rPr>
        <w:t>ARA</w:t>
      </w:r>
      <w:r>
        <w:rPr>
          <w:rStyle w:val="Strong"/>
          <w:rFonts w:ascii="Times New Roman" w:hAnsi="Times New Roman" w:cs="Times New Roman"/>
          <w:b w:val="0"/>
          <w:bCs w:val="0"/>
        </w:rPr>
        <w:t xml:space="preserve"> é um instrumento de gradação proporcional. Opera sobre um espectro que vai do risco baixo ao risco crítico e reconhece que a maioria dos protocolos com IA ocupa posições intermediárias que admitem salvaguardas, condicionantes e mitigações. Essa gradação tem um limite que o instrumento não transpõe. Três dimensões não são graduáveis pela MARA: dano direto e potencialmente irreversível ao participante sem mecanismo documentado de interrupção e reparação; ausência de supervisão humana efetiva em contexto em que o sistema influencia decisões clínicas críticas; e incerteza técnica não documentada sobre o comportamento do sistema no contexto de uso declarado. Diante dessas dimensões, o princípio de não maleficência e o princípio de precaução estabelecidos pela Lei n.º 14.874/2024 prevalecem sobre qualquer resultado que a soma dos blocos produza (BRASIL, 2024). A matriz estrutura o julgamento do </w:t>
      </w:r>
      <w:r>
        <w:rPr>
          <w:rStyle w:val="Strong"/>
          <w:rFonts w:ascii="Times New Roman" w:hAnsi="Times New Roman" w:cs="Times New Roman"/>
          <w:b w:val="0"/>
          <w:bCs w:val="0"/>
        </w:rPr>
        <w:lastRenderedPageBreak/>
        <w:t>CEP. Não esgota seus limites éticos.. Esses limites estão nos princípios que a lei estabelece e que nenhum instrumento de avaliação tem competência para relativizar.</w:t>
      </w:r>
    </w:p>
    <w:p w14:paraId="09461355" w14:textId="77777777" w:rsidR="00823501" w:rsidRDefault="00823501" w:rsidP="001200C1">
      <w:pPr>
        <w:spacing w:after="0" w:line="360" w:lineRule="auto"/>
        <w:contextualSpacing/>
        <w:jc w:val="both"/>
        <w:rPr>
          <w:rStyle w:val="Strong"/>
          <w:rFonts w:ascii="Times New Roman" w:hAnsi="Times New Roman" w:cs="Times New Roman"/>
        </w:rPr>
      </w:pPr>
    </w:p>
    <w:p w14:paraId="196B0793" w14:textId="1B4A37A9" w:rsidR="00B81D7C" w:rsidRPr="001200C1" w:rsidRDefault="00B81D7C" w:rsidP="001200C1">
      <w:pPr>
        <w:spacing w:after="0" w:line="360" w:lineRule="auto"/>
        <w:contextualSpacing/>
        <w:jc w:val="both"/>
        <w:rPr>
          <w:rStyle w:val="Emphasis"/>
          <w:rFonts w:ascii="Times New Roman" w:eastAsia="Times New Roman" w:hAnsi="Times New Roman" w:cs="Times New Roman"/>
          <w:i w:val="0"/>
          <w:iCs w:val="0"/>
          <w:kern w:val="0"/>
          <w14:ligatures w14:val="none"/>
        </w:rPr>
      </w:pPr>
      <w:r>
        <w:rPr>
          <w:rStyle w:val="Strong"/>
          <w:rFonts w:ascii="Times New Roman" w:hAnsi="Times New Roman" w:cs="Times New Roman"/>
        </w:rPr>
        <w:t xml:space="preserve">7.2.1 Versão A qualitativa </w:t>
      </w:r>
    </w:p>
    <w:p w14:paraId="2D379A49" w14:textId="08DC252F" w:rsidR="00B81D7C" w:rsidRPr="001200C1" w:rsidRDefault="00B81D7C" w:rsidP="001200C1">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avaliação ética de protocolos de pesquisa que utilizam inteligência artificial exige instrumentos que traduzam a complexidade técnica dos sistemas algorítmicos de impacto ético mensurável sobre a pessoa participante. A MARA — Versão A Qualitativa foi construída a partir dessa premissa, com fundamento em oito experiências regulatórias internacionais e ancorada no marco jurídico brasileiro.</w:t>
      </w:r>
    </w:p>
    <w:p w14:paraId="69D4BBE3" w14:textId="77777777" w:rsidR="00226F36" w:rsidRDefault="00226F36" w:rsidP="001200C1">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p>
    <w:p w14:paraId="6A7FF059" w14:textId="04F944E5" w:rsidR="00B81D7C" w:rsidRPr="001200C1" w:rsidRDefault="00B81D7C" w:rsidP="001200C1">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escolha pela abordagem qualitativa</w:t>
      </w:r>
    </w:p>
    <w:p w14:paraId="493469FD" w14:textId="451B55B3" w:rsidR="00B81D7C" w:rsidRPr="001200C1" w:rsidRDefault="00B81D7C" w:rsidP="001200C1">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Versão A da Matriz adota uma lógica qualitativa estruturada: perguntas de resposta binária, organizadas em cinco eixos temáticos, percorridos em sequência por meio de um fluxograma. Essa escolha se apoia na experiência do modelo australiano (AUSTRALIA, 2023), que demonstrou que instrumentos de avaliação ética são mais eficazes quando orientam o julgamento do avaliador sem substituí-lo. O CEP não precisa dominar a arquitetura técnica do sistema, mas sim compreender o impacto que ele pode produzir (NHMRC, 2023). A lógica qualitativa preserva essa centralidade do julgamento ético, ao mesmo tempo que garante sistematicidade e rastreabilidade ao processo de avaliação.</w:t>
      </w:r>
    </w:p>
    <w:p w14:paraId="7AD2D8B6" w14:textId="074527A9" w:rsidR="00B81D7C" w:rsidRPr="001200C1" w:rsidRDefault="001200C1" w:rsidP="00BF50FA">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hAnsi="Times New Roman" w:cs="Times New Roman"/>
          <w:color w:val="000000"/>
        </w:rPr>
        <w:t xml:space="preserve">O formato de perguntas binárias, em que qualquer resposta de risco aumenta a classificação no eixo, foi adaptado do modelo canadense de Avaliação de Impacto Algorítmico (CANADA, 2025). </w:t>
      </w:r>
      <w:r>
        <w:rPr>
          <w:rFonts w:ascii="Times New Roman" w:eastAsia="Times New Roman" w:hAnsi="Times New Roman" w:cs="Times New Roman"/>
          <w:kern w:val="0"/>
          <w14:ligatures w14:val="none"/>
        </w:rPr>
        <w:t xml:space="preserve">O AIA canadense demonstrou, em uso consolidado desde 2019, que perguntas objetivas e bem formuladas são instrumentos eficazes para avaliadores sem formação técnica em ciência da computação. </w:t>
      </w:r>
      <w:r>
        <w:rPr>
          <w:rFonts w:ascii="Times New Roman" w:hAnsi="Times New Roman" w:cs="Times New Roman"/>
          <w:color w:val="000000"/>
        </w:rPr>
        <w:t>A versão brasileira adota essa lógica, ampliando-a para o cenário da pesquisa envolvendo seres humanos. Ela direciona a atenção da prestação de serviços públicos governamentais para a proteção dos participantes dessas pesquisas.</w:t>
      </w:r>
    </w:p>
    <w:p w14:paraId="4ACFF57E" w14:textId="77777777" w:rsidR="00A23B53" w:rsidRDefault="00A23B53" w:rsidP="001200C1">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p>
    <w:p w14:paraId="33A68706" w14:textId="2D8462D3" w:rsidR="00B81D7C" w:rsidRPr="001200C1" w:rsidRDefault="00B81D7C" w:rsidP="001200C1">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 filtro de entrada e a caracterização do contexto de uso</w:t>
      </w:r>
    </w:p>
    <w:p w14:paraId="1696BBF6" w14:textId="3D616D23" w:rsidR="00B81D7C" w:rsidRPr="00FB1EF7" w:rsidRDefault="00B81D7C" w:rsidP="00E5482F">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Passo 0 (filtro de entrada) distingue usos rotineiros de usos que demandam avaliação aprofundada. </w:t>
      </w:r>
      <w:r>
        <w:rPr>
          <w:rFonts w:ascii="Times New Roman" w:hAnsi="Times New Roman" w:cs="Times New Roman"/>
          <w:color w:val="000000"/>
        </w:rPr>
        <w:t xml:space="preserve">Essa distinção é essencial. Sem um filtro inicial, os comitês analisam indiscriminadamente desde ferramentas para organização bibliográfica até sistemas autônomos de </w:t>
      </w:r>
      <w:r>
        <w:rPr>
          <w:rFonts w:ascii="Times New Roman" w:hAnsi="Times New Roman" w:cs="Times New Roman"/>
          <w:color w:val="000000"/>
        </w:rPr>
        <w:lastRenderedPageBreak/>
        <w:t xml:space="preserve">apoio diagnóstico. Isso compromete a eficiência e a proporcionalidade do processo (FDA, 2025). A diretriz da Food and Drug Administration dos Estados Unidos, publicada em janeiro de 2025, demonstrou que nenhuma avaliação de risco algorítmico começa sem a definição precisa do contexto de uso. Trata-se do papel específico do sistema e do escopo da pergunta que ele foi desenvolvido para responder (FDA, 2025). </w:t>
      </w:r>
      <w:r>
        <w:rPr>
          <w:rFonts w:ascii="Times New Roman" w:eastAsia="Times New Roman" w:hAnsi="Times New Roman" w:cs="Times New Roman"/>
          <w:kern w:val="0"/>
          <w14:ligatures w14:val="none"/>
        </w:rPr>
        <w:t>A Matriz incorpora essa exigência como etapa prévia obrigatória aos cinco eixos.</w:t>
      </w:r>
    </w:p>
    <w:p w14:paraId="2FB58A7C" w14:textId="529CB111" w:rsidR="00B81D7C" w:rsidRPr="00FB1EF7" w:rsidRDefault="00B81D7C" w:rsidP="00E5482F">
      <w:pPr>
        <w:spacing w:after="0" w:line="360" w:lineRule="auto"/>
        <w:contextualSpacing/>
        <w:jc w:val="both"/>
        <w:rPr>
          <w:rFonts w:ascii="Times New Roman" w:eastAsia="Times New Roman" w:hAnsi="Times New Roman" w:cs="Times New Roman"/>
          <w:kern w:val="0"/>
          <w14:ligatures w14:val="none"/>
        </w:rPr>
      </w:pPr>
    </w:p>
    <w:p w14:paraId="628E80C6" w14:textId="77777777" w:rsidR="00B81D7C" w:rsidRPr="00FB1EF7" w:rsidRDefault="00B81D7C" w:rsidP="00E5482F">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Os cinco eixos e suas fontes</w:t>
      </w:r>
    </w:p>
    <w:p w14:paraId="0FEF21F2" w14:textId="76F9744B" w:rsidR="00B81D7C" w:rsidRPr="00FB1EF7" w:rsidRDefault="00B81D7C" w:rsidP="00DA55EE">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Eixo 1, dedicado à natureza e à autonomia do sistema, articula dois conceitos complementares. O primeiro é o de influência do modelo: o quanto a IA pesa na decisão final, em relação a outras fontes de evidência (FDA, 2025). </w:t>
      </w:r>
      <w:r>
        <w:rPr>
          <w:rFonts w:ascii="Times New Roman" w:hAnsi="Times New Roman" w:cs="Times New Roman"/>
          <w:color w:val="000000"/>
        </w:rPr>
        <w:t xml:space="preserve">O Ministério da Segurança Alimentar e de Medicamentos da Coreia do Sul (MFDS, 2023) define dois critérios: Potencialidade de Má Função, ou seja, a chance de falhas algorítmicas causarem dano clínico; e Oportunidade de Contestação, que é a possibilidade real do profissional questionar o resultado do sistema. </w:t>
      </w:r>
      <w:r>
        <w:rPr>
          <w:rFonts w:ascii="Times New Roman" w:eastAsia="Times New Roman" w:hAnsi="Times New Roman" w:cs="Times New Roman"/>
          <w:kern w:val="0"/>
          <w14:ligatures w14:val="none"/>
        </w:rPr>
        <w:t>A combinação dessas duas dimensões permite ao CEP avaliar não apenas o que o sistema faz, mas o que acontece quando ele erra. O mais importante, nesse momento, é saber quem detém a capacidade de intervir.</w:t>
      </w:r>
    </w:p>
    <w:p w14:paraId="4F9E6B67" w14:textId="3CBCA1DA" w:rsidR="00050922" w:rsidRDefault="00050922" w:rsidP="00050922">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Eixo 2 examina o impacto sobre a pessoa participante. Suas bases estão na Lei n.º 14.874, de 28 de maio de 2024, e no Decreto n.º 12.651, de 2025, que estabelecem os princípios éticos fundamentais da pesquisa com seres humanos no Brasil (BRASIL, 2024; 2025). O eixo inclui pergunta específica sobre populações vulneráveis: crianças, gestantes, idosos, povos indígenas e pessoas em situação de vulnerabilidade socioeconômica. Essa inclusão responde a uma lacuna dos modelos internacionais analisados. Nenhum deles foi concebido para o contexto epidemiológico e social brasileiro, marcado por desigualdades regionais acentuadas e pela pluralidade étnica e cultural da população atendida pelo Sistema Único de Saúde. O eixo incorpora ainda pergunta sobre mecanismo de exclusão de dados do treinamento do modelo. Essa pergunta tem fundamento nas diretrizes do </w:t>
      </w:r>
      <w:r>
        <w:rPr>
          <w:rFonts w:ascii="Times New Roman" w:eastAsia="Times New Roman" w:hAnsi="Times New Roman" w:cs="Times New Roman"/>
          <w:i/>
          <w:iCs/>
          <w:kern w:val="0"/>
          <w14:ligatures w14:val="none"/>
        </w:rPr>
        <w:t xml:space="preserve">Indian Council of Medical Research </w:t>
      </w:r>
      <w:r>
        <w:rPr>
          <w:rFonts w:ascii="Times New Roman" w:eastAsia="Times New Roman" w:hAnsi="Times New Roman" w:cs="Times New Roman"/>
          <w:kern w:val="0"/>
          <w14:ligatures w14:val="none"/>
        </w:rPr>
        <w:t>(ICMR), que institui o direito de o participante solicitar a supressão de seus dados do repositório utilizado pela IA a qualquer tempo (ICMR, 2023). Nenhum dos modelos ocidentais analisados prevê esse direito.</w:t>
      </w:r>
    </w:p>
    <w:p w14:paraId="5E1D62F0" w14:textId="77777777" w:rsidR="003777A7" w:rsidRDefault="00B81D7C" w:rsidP="003777A7">
      <w:pPr>
        <w:spacing w:before="100" w:beforeAutospacing="1" w:after="100" w:afterAutospacing="1" w:line="360" w:lineRule="auto"/>
        <w:ind w:firstLine="720"/>
        <w:contextualSpacing/>
        <w:jc w:val="both"/>
        <w:rPr>
          <w:rFonts w:ascii="Times New Roman" w:hAnsi="Times New Roman" w:cs="Times New Roman"/>
          <w:color w:val="000000"/>
        </w:rPr>
      </w:pPr>
      <w:r>
        <w:rPr>
          <w:rFonts w:ascii="Times New Roman" w:eastAsia="Times New Roman" w:hAnsi="Times New Roman" w:cs="Times New Roman"/>
          <w:kern w:val="0"/>
          <w14:ligatures w14:val="none"/>
        </w:rPr>
        <w:t xml:space="preserve">O Eixo 3, sobre sensibilidade e governança dos dados, é o eixo mais diretamente ancorado no direito brasileiro. A LGPD classifica dados de saúde como dados pessoais sensíveis e exige base legal específica, finalidade declarada e identificação do Encarregado de Dados para seu </w:t>
      </w:r>
      <w:r>
        <w:rPr>
          <w:rFonts w:ascii="Times New Roman" w:eastAsia="Times New Roman" w:hAnsi="Times New Roman" w:cs="Times New Roman"/>
          <w:kern w:val="0"/>
          <w14:ligatures w14:val="none"/>
        </w:rPr>
        <w:lastRenderedPageBreak/>
        <w:t xml:space="preserve">tratamento. Esse conjunto de exigências é mais protetivo do que as legislações de proteção de dados de todos os países analisados neste guia, à exceção do Regulamento Geral de Proteção de Dados da União Europeia (GDPR). </w:t>
      </w:r>
      <w:r>
        <w:rPr>
          <w:rFonts w:ascii="Times New Roman" w:hAnsi="Times New Roman" w:cs="Times New Roman"/>
          <w:color w:val="000000"/>
        </w:rPr>
        <w:t xml:space="preserve">O contraste torna-se ainda mais evidente em relação à Lei de Proteção de Dados Pessoais Digitais da Índia (Digital Personal Data Protection Act) de 2023, que eliminou a categoria de dados sensíveis do texto legal, passando a tratar dados de saúde como qualquer outro dado pessoal (CARNEGIE ENDOWMENT, 2023). Este guia considera essa decisão legislativa um risco que deve ser evitado. </w:t>
      </w:r>
    </w:p>
    <w:p w14:paraId="76732B17" w14:textId="77777777" w:rsidR="009525F5" w:rsidRDefault="003777A7" w:rsidP="003777A7">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contraste torna-se ainda mais evidente em relação à </w:t>
      </w:r>
      <w:r>
        <w:rPr>
          <w:rFonts w:ascii="Times New Roman" w:hAnsi="Times New Roman" w:cs="Times New Roman"/>
          <w:color w:val="000000"/>
        </w:rPr>
        <w:t>Lei de Proteção de Dados Pessoais Digitais da Índia</w:t>
      </w:r>
      <w:r>
        <w:rPr>
          <w:rFonts w:ascii="Times New Roman" w:eastAsia="Times New Roman" w:hAnsi="Times New Roman" w:cs="Times New Roman"/>
          <w:kern w:val="0"/>
          <w14:ligatures w14:val="none"/>
        </w:rPr>
        <w:t xml:space="preserve"> (Digital Personal Data Protection Act), de 2023, que eliminou a categoria de dados sensíveis do texto legal e passou a tratar dados de saúde como qualquer outro dado pessoal (CARNEGIE ENDOWMENT, 2023). Equiparar prontuários, dados genéticos e registros psiquiátricos a dados comerciais correntes expõe os participantes de pesquisa a riscos de discriminação sem respaldo jurídico para proteção diferenciada. </w:t>
      </w:r>
    </w:p>
    <w:p w14:paraId="0A04D4B6" w14:textId="7B160872" w:rsidR="009525F5" w:rsidRDefault="009525F5" w:rsidP="009525F5">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LGPD brasileira faz escolha oposta. Dados de saúde constituem categoria sensível com proteção reforçada. Essa distinção é um dos pilares do Eixo 3 da Matriz. O eixo inclui ainda pergunta específica sobre risco de reidentificação. O MRCT Center e WCG (2025) documentaram que grandes modelos de linguagem conseguem inferir identidades a partir de dados aparentemente anonimizados. Esse risco não desaparece com a anonimização formal.</w:t>
      </w:r>
    </w:p>
    <w:p w14:paraId="4E21F406" w14:textId="77777777" w:rsidR="009525F5" w:rsidRDefault="00B81D7C" w:rsidP="009525F5">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Eixo 4, sobre representatividade e transferibilidade, responde a uma das principais lacunas éticas identificadas na literatura internacional: modelos treinados predominantemente com dados de populações de alta renda e do hemisfério norte apresentam desempenho sistematicamente inferior quando aplicados a populações de diferentes características étnicas, socioeconômicas e geográficas (WHO, 2024). </w:t>
      </w:r>
    </w:p>
    <w:p w14:paraId="45922730" w14:textId="77777777" w:rsidR="009525F5" w:rsidRDefault="009525F5" w:rsidP="009525F5">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guia australiano e as diretrizes do MFDS coreano documentaram que a ausência de validação local é um dos principais fatores de risco ético em protocolos que importam sistemas desenvolvidos em outros contextos (AUSTRALIA, 2023; MFDS, 2023). O eixo incorpora ainda pergunta sobre *data drift*. Modelos de aprendizado de máquina degradam seu desempenho à medida que os dados do mundo real divergem dos dados de treinamento. Esse fenômeno exige monitoramento contínuo ao longo de todo o ciclo de vida do sistema. A pergunta tem fundamento no conceito de manutenção do ciclo de vida desenvolvido pela FDA (2025) e operacionalizado pelo sistema IDATEN da agência regulatória japonesa (PMDA, [s.d.]).</w:t>
      </w:r>
    </w:p>
    <w:p w14:paraId="6A578940" w14:textId="77777777" w:rsidR="009525F5" w:rsidRDefault="009525F5" w:rsidP="009525F5">
      <w:pPr>
        <w:spacing w:after="0"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 Eixo 5 examina a supervisão humana e a explicabilidade. Seu fundamento central é o princípio da autonomia médica irrevogável enunciado pelo ICMR (2023). A inteligência artificial serve para amplificação diagnóstica. Não substitui o julgamento clínico. O profissional responsável é o garantidor da verificação humana de todo resultado gerado pela IA. Esse princípio articula-se com o conceito de humano no circuito decisório (</w:t>
      </w:r>
      <w:r>
        <w:rPr>
          <w:rFonts w:ascii="Times New Roman" w:eastAsia="Times New Roman" w:hAnsi="Times New Roman" w:cs="Times New Roman"/>
          <w:i/>
          <w:iCs/>
          <w:kern w:val="0"/>
          <w14:ligatures w14:val="none"/>
        </w:rPr>
        <w:t>human-in-the-loop</w:t>
      </w:r>
      <w:r>
        <w:rPr>
          <w:rFonts w:ascii="Times New Roman" w:eastAsia="Times New Roman" w:hAnsi="Times New Roman" w:cs="Times New Roman"/>
          <w:kern w:val="0"/>
          <w14:ligatures w14:val="none"/>
        </w:rPr>
        <w:t xml:space="preserve">) presente no modelo australiano (AUSTRALIA, 2023). </w:t>
      </w:r>
    </w:p>
    <w:p w14:paraId="107CD7D2" w14:textId="77777777" w:rsidR="004645B2" w:rsidRDefault="009525F5" w:rsidP="004645B2">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 se articula com a exigência da FDA de que, quando o contexto de uso envolve um humano no processo decisório, a avaliação de desempenho do sistema considere o resultado da equipe humano-IA, não apenas o desempenho isolado do modelo (FDA, 2025). O eixo incorpora ainda pergunta sobre o protocolo de retreinamento do modelo. Essa pergunta tem fundamento no Protocolo de Mudança de Algoritmo (</w:t>
      </w:r>
      <w:r>
        <w:rPr>
          <w:rFonts w:ascii="Times New Roman" w:eastAsia="Times New Roman" w:hAnsi="Times New Roman" w:cs="Times New Roman"/>
          <w:i/>
          <w:iCs/>
          <w:kern w:val="0"/>
          <w14:ligatures w14:val="none"/>
        </w:rPr>
        <w:t>Algorithm Change Protocol</w:t>
      </w:r>
      <w:r>
        <w:rPr>
          <w:rFonts w:ascii="Times New Roman" w:eastAsia="Times New Roman" w:hAnsi="Times New Roman" w:cs="Times New Roman"/>
          <w:kern w:val="0"/>
          <w14:ligatures w14:val="none"/>
        </w:rPr>
        <w:t>) indiano, que exige que os fabricantes submetam antecipadamente um plano descrevendo como o modelo será atualizado (CDSCO, 2025). No contexto deste guia, esse princípio se traduz na responsabilidade do pesquisador de informar ao CEP como e quando o modelo será modificado durante o estudo.</w:t>
      </w:r>
    </w:p>
    <w:p w14:paraId="1AB6267A" w14:textId="28F9C164" w:rsidR="00226F36" w:rsidRPr="004645B2" w:rsidRDefault="004645B2" w:rsidP="004645B2">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convergência de alguns eixos em torno do impacto clínico sobre o participante é intencional, não é sobreposição inadvertida. Os eixos de natureza e autonomia do sistema, de impacto sobre a pessoa participante e de transferibilidade e desempenho avaliam dimensões distintas de uma mesma realidade: o que o sistema pode fazer à pessoa que participa da pesquisa. O eixo de natureza examina como o sistema opera. O eixo de impacto examina o que o sistema produz sobre o participante. O eixo de transferibilidade examina se o que o sistema produz num contexto continuará válido noutro. São perguntas diferentes sobre o mesmo risco porque o risco tem múltiplas dimensões que um único eixo não captura. Um protocolo que apresenta alto risco nesses três eixos simultaneamente não está sendo penalizado três vezes pelo mesmo problema. Está demonstrando que o risco é consistente, estrutural e não mitigável por uma única salvaguarda. A convergência entre eixos num resultado de alto risco é evidência de gravidade, não artefato metodológico.</w:t>
      </w:r>
    </w:p>
    <w:p w14:paraId="3FACCA56" w14:textId="77777777" w:rsidR="004645B2" w:rsidRDefault="004645B2" w:rsidP="00226F36">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p>
    <w:p w14:paraId="30ADE290" w14:textId="3D4CA042" w:rsidR="00B81D7C" w:rsidRPr="00FB1EF7" w:rsidRDefault="00B81D7C" w:rsidP="00226F36">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lógica do fluxograma sequencial e a regra crítica</w:t>
      </w:r>
    </w:p>
    <w:p w14:paraId="5DD150FC" w14:textId="77777777" w:rsidR="00226F36" w:rsidRDefault="00226F36" w:rsidP="00226F36">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fluxograma sequencial foi adotado por dois motivos. O primeiro é pedagógico. A sequência guia o avaliador de forma progressiva, do mais simples ao mais complexo, e evita saltos que comprometam a consistência da análise. O segundo é ético. O nível de risco só sobe, nunca </w:t>
      </w:r>
      <w:r>
        <w:rPr>
          <w:rFonts w:ascii="Times New Roman" w:eastAsia="Times New Roman" w:hAnsi="Times New Roman" w:cs="Times New Roman"/>
          <w:kern w:val="0"/>
          <w14:ligatures w14:val="none"/>
        </w:rPr>
        <w:lastRenderedPageBreak/>
        <w:t>desce. Essa lógica é coerente com o princípio da precaução que fundamenta a ética em pesquisa com seres humanos (BRASIL, 2025). Um único eixo em Nível IV é suficiente para elevar o protocolo inteiro ao nível mais alto de exigência, independentemente do desempenho nos demais eixos. A ausência de supervisão humana em um sistema que influencia decisões terapêuticas, por exemplo, não é compensada por boas respostas nos eixos de dados ou representatividade.</w:t>
      </w:r>
    </w:p>
    <w:p w14:paraId="2C09B7ED" w14:textId="2600BA56" w:rsidR="00226F36" w:rsidRDefault="00226F36" w:rsidP="00226F36">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regra crítica tem origem direta no modelo canadense de Avaliação de Impacto Algorítmico (CANADA, 2025). O modelo demonstrou que permitir que mitigações reduzam o nível de risco cria um incentivo perverso. Pesquisadores passam a declarar salvaguardas para obter classificações mais favoráveis. Deixam de demonstrar que o risco foi efetivamente controlado. A regra resolve esse problema com uma separação clara. O nível de risco é determinado pelas características do sistema e do protocolo. Os requisitos exigidos são ajustados em função das garantias demonstradas. Essa separação preserva a integridade do instrumento e a clareza da comunicação entre pesquisador e comitê.</w:t>
      </w:r>
    </w:p>
    <w:p w14:paraId="073569A3" w14:textId="77777777" w:rsidR="00FC0B2D" w:rsidRDefault="00B81D7C" w:rsidP="00FC0B2D">
      <w:pPr>
        <w:pStyle w:val="font-claude-response-body"/>
        <w:spacing w:line="360" w:lineRule="auto"/>
        <w:contextualSpacing/>
        <w:jc w:val="both"/>
        <w:rPr>
          <w:rStyle w:val="Strong"/>
        </w:rPr>
      </w:pPr>
      <w:r>
        <w:rPr>
          <w:rStyle w:val="Strong"/>
        </w:rPr>
        <w:t>7.2.2 Versão B</w:t>
      </w:r>
      <w:r>
        <w:t xml:space="preserve"> </w:t>
      </w:r>
      <w:r>
        <w:rPr>
          <w:rStyle w:val="Strong"/>
        </w:rPr>
        <w:t xml:space="preserve">quantitativa </w:t>
      </w:r>
    </w:p>
    <w:p w14:paraId="2491BED7" w14:textId="15D77F25" w:rsidR="00B81D7C" w:rsidRPr="00321471" w:rsidRDefault="00B81D7C" w:rsidP="00FC0B2D">
      <w:pPr>
        <w:pStyle w:val="font-claude-response-body"/>
        <w:spacing w:line="360" w:lineRule="auto"/>
        <w:ind w:firstLine="720"/>
        <w:contextualSpacing/>
        <w:jc w:val="both"/>
      </w:pPr>
      <w:r>
        <w:rPr>
          <w:color w:val="000000"/>
        </w:rPr>
        <w:t>A Versão B da MARA utiliza perguntas com pesos numéricos variados em sete blocos temáticos. A soma dos pontos determina o risco do protocolo em uma escala de I a IV. Essa abordagem torna suas decisões mais rastreáveis e auditáveis. A pontuação apenas indica áreas de risco e mostra como as escolhas do pesquisador afetam esse risco.</w:t>
      </w:r>
    </w:p>
    <w:p w14:paraId="3710728B" w14:textId="77777777" w:rsidR="00B81D7C" w:rsidRPr="00321471" w:rsidRDefault="00B81D7C" w:rsidP="00B81D7C">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escolha pela abordagem quantitativa</w:t>
      </w:r>
    </w:p>
    <w:p w14:paraId="524D5A29" w14:textId="77777777" w:rsidR="00FC0B2D" w:rsidRDefault="00FC0B2D" w:rsidP="00FC0B2D">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lógica quantitativa tem inspiração no modelo canadense de Avaliação de Impacto Algorítmico (CANADA, 2025). O modelo opera com 65 perguntas de risco, pontuação máxima de 169 pontos, e 41 perguntas de mitigação, pontuação máxima de 75 pontos, distribuídas em quatro níveis de risco. </w:t>
      </w:r>
    </w:p>
    <w:p w14:paraId="17964745" w14:textId="2A7EE8AC" w:rsidR="00FC0B2D" w:rsidRDefault="00FC0B2D" w:rsidP="00FC0B2D">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experiência canadense demonstrou duas vantagens concretas do modelo quantitativo. A primeira é a precisão: a pontuação identifica em quais dimensões o risco está concentrado e orienta as exigências do comitê de forma proporcional. A segunda é a consistência: protocolos avaliados em momentos diferentes e por membros diferentes do CEP tornam-se comparáveis, o que fortalece a coerência das decisões institucionais (CANADA, 2025). A Versão B incorpora essa lógica e a adapta ao contexto da pesquisa com seres humanos no Brasil. O foco deixa de ser serviços públicos </w:t>
      </w:r>
      <w:r>
        <w:rPr>
          <w:rFonts w:ascii="Times New Roman" w:eastAsia="Times New Roman" w:hAnsi="Times New Roman" w:cs="Times New Roman"/>
          <w:kern w:val="0"/>
          <w14:ligatures w14:val="none"/>
        </w:rPr>
        <w:lastRenderedPageBreak/>
        <w:t>governamentais e passa a ser a proteção dos participantes de pesquisa e a conformidade com a LGPD.</w:t>
      </w:r>
    </w:p>
    <w:p w14:paraId="2BA02B15" w14:textId="5CEEB03A" w:rsidR="00B81D7C" w:rsidRPr="00321471" w:rsidRDefault="00FC0B2D" w:rsidP="00FC0B2D">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estrutura em sete blocos foi proposta pela equipe do INAEP: Projeto, Sistema, Algoritmo, Decisão, Impacto, Dados e Mitigação. Os blocos de maior peso ético e regulatório recebem perguntas com valor individual mais alto. Essa escolha torna explícita a hierarquia de prioridades do instrumento. Os blocos de Impacto e Dados concentram juntos 107 dos 244 pontos máximos da matriz. Representam 44% da pontuação total. Essa concentração expressa uma escolha deliberada. Em pesquisa com seres humanos, o que mais importa é o que o sistema pode fazer à pessoa participante e como seus dados são tratados.</w:t>
      </w:r>
    </w:p>
    <w:p w14:paraId="4529B4C1" w14:textId="77777777" w:rsidR="00FC0B2D" w:rsidRDefault="00FC0B2D" w:rsidP="00B81D7C">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p>
    <w:p w14:paraId="3AA18DC2" w14:textId="62F3FC7A" w:rsidR="00B81D7C" w:rsidRPr="00321471" w:rsidRDefault="00B81D7C" w:rsidP="00B81D7C">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 filtro de entrada e a caracterização do contexto de uso</w:t>
      </w:r>
    </w:p>
    <w:p w14:paraId="34EA537A" w14:textId="427C5B0E" w:rsidR="00B81D7C" w:rsidRPr="00321471" w:rsidRDefault="00FC0B2D" w:rsidP="00FC0B2D">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Versão B mantém, da Versão A, o Passo 0 e a caracterização do contexto de uso como etapas obrigatórias anteriores à pontuação. A diretriz da Food and Drug Administration dos Estados Unidos demonstrou que nenhuma avaliação de risco algorítmico começa sem a definição precisa do contexto de uso: o papel específico do sistema e o escopo da pergunta que ele foi desenvolvido para responder (FDA, 2025). A caracterização não pontua. Delimita o objeto da avaliação e impede que o CEP avalie o sistema em abstrato, desvinculado do protocolo concreto submetido à análise.</w:t>
      </w:r>
    </w:p>
    <w:p w14:paraId="0C5A556F" w14:textId="77777777" w:rsidR="00FC0B2D" w:rsidRDefault="00FC0B2D" w:rsidP="00B81D7C">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p>
    <w:p w14:paraId="1C9136BB" w14:textId="37BDEDD8" w:rsidR="00B81D7C" w:rsidRPr="00321471" w:rsidRDefault="00B81D7C" w:rsidP="00B81D7C">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Os sete blocos e suas fontes</w:t>
      </w:r>
    </w:p>
    <w:p w14:paraId="0A2AE2D7" w14:textId="77777777" w:rsidR="00FC0B2D" w:rsidRDefault="00FC0B2D" w:rsidP="00FC0B2D">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Bloco 1 avalia a adequação do protocolo para o uso de IA. Examina a transparência na descrição do sistema, a qualificação da equipe, a clareza da justificativa metodológica e a adequação do Termo de Consentimento Livre e Esclarecido. A pontuação máxima é de 22 pontos. Cada pergunta vale três pontos, com exceção da pergunta sobre consulta técnica externa, que vale quatro. O bloco opera como verificação de completude documental. </w:t>
      </w:r>
    </w:p>
    <w:p w14:paraId="49A275D0" w14:textId="31AE6379" w:rsidR="00FC0B2D" w:rsidRDefault="00FC0B2D" w:rsidP="00FC0B2D">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protocolo deve descrever o estágio de desenvolvimento do sistema: descoberta exploratória (</w:t>
      </w:r>
      <w:r>
        <w:rPr>
          <w:rFonts w:ascii="Times New Roman" w:eastAsia="Times New Roman" w:hAnsi="Times New Roman" w:cs="Times New Roman"/>
          <w:i/>
          <w:iCs/>
          <w:kern w:val="0"/>
          <w14:ligatures w14:val="none"/>
        </w:rPr>
        <w:t>Discovery</w:t>
      </w:r>
      <w:r>
        <w:rPr>
          <w:rFonts w:ascii="Times New Roman" w:eastAsia="Times New Roman" w:hAnsi="Times New Roman" w:cs="Times New Roman"/>
          <w:kern w:val="0"/>
          <w14:ligatures w14:val="none"/>
        </w:rPr>
        <w:t>), tradução clínica (</w:t>
      </w:r>
      <w:r>
        <w:rPr>
          <w:rFonts w:ascii="Times New Roman" w:eastAsia="Times New Roman" w:hAnsi="Times New Roman" w:cs="Times New Roman"/>
          <w:i/>
          <w:iCs/>
          <w:kern w:val="0"/>
          <w14:ligatures w14:val="none"/>
        </w:rPr>
        <w:t>Translation</w:t>
      </w:r>
      <w:r>
        <w:rPr>
          <w:rFonts w:ascii="Times New Roman" w:eastAsia="Times New Roman" w:hAnsi="Times New Roman" w:cs="Times New Roman"/>
          <w:kern w:val="0"/>
          <w14:ligatures w14:val="none"/>
        </w:rPr>
        <w:t>) ou implantação (</w:t>
      </w:r>
      <w:r>
        <w:rPr>
          <w:rFonts w:ascii="Times New Roman" w:eastAsia="Times New Roman" w:hAnsi="Times New Roman" w:cs="Times New Roman"/>
          <w:i/>
          <w:iCs/>
          <w:kern w:val="0"/>
          <w14:ligatures w14:val="none"/>
        </w:rPr>
        <w:t>Deployment</w:t>
      </w:r>
      <w:r>
        <w:rPr>
          <w:rFonts w:ascii="Times New Roman" w:eastAsia="Times New Roman" w:hAnsi="Times New Roman" w:cs="Times New Roman"/>
          <w:kern w:val="0"/>
          <w14:ligatures w14:val="none"/>
        </w:rPr>
        <w:t>). Essa exigência tem fundamento no referencial do MRCT Center e WCG (2025), que demonstrou que os riscos éticos variam conforme o momento do ciclo de vida em que a IA opera. Um sistema em fase de descoberta exploratória apresenta riscos distintos de um sistema já em implantação clínica. Essa distinção deve ser visível no protocolo submetido ao CEP.</w:t>
      </w:r>
    </w:p>
    <w:p w14:paraId="79DF3BA3" w14:textId="77777777" w:rsidR="00FC0B2D" w:rsidRDefault="00FC0B2D" w:rsidP="00FC0B2D">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 Bloco 2 avalia a natureza técnica do sistema: autonomia, adaptabilidade, explicabilidade e rastreabilidade. A pontuação máxima é de 17 pontos. Cada pergunta vale dois ou três pontos. O bloco articula dois conceitos desenvolvidos por referenciais distintos. O primeiro é o de influência do modelo: o quanto a IA pesa na decisão final em relação a outras fontes de evidência. Esse conceito foi desenvolvido pela FDA (2025). O segundo é o de potencial de falha (</w:t>
      </w:r>
      <w:r>
        <w:rPr>
          <w:rFonts w:ascii="Times New Roman" w:eastAsia="Times New Roman" w:hAnsi="Times New Roman" w:cs="Times New Roman"/>
          <w:i/>
          <w:iCs/>
          <w:kern w:val="0"/>
          <w14:ligatures w14:val="none"/>
        </w:rPr>
        <w:t>Malfunction Potential</w:t>
      </w:r>
      <w:r>
        <w:rPr>
          <w:rFonts w:ascii="Times New Roman" w:eastAsia="Times New Roman" w:hAnsi="Times New Roman" w:cs="Times New Roman"/>
          <w:kern w:val="0"/>
          <w14:ligatures w14:val="none"/>
        </w:rPr>
        <w:t>) e oportunidade de contestação (</w:t>
      </w:r>
      <w:r>
        <w:rPr>
          <w:rFonts w:ascii="Times New Roman" w:eastAsia="Times New Roman" w:hAnsi="Times New Roman" w:cs="Times New Roman"/>
          <w:i/>
          <w:iCs/>
          <w:kern w:val="0"/>
          <w14:ligatures w14:val="none"/>
        </w:rPr>
        <w:t>Opportunity to Override</w:t>
      </w:r>
      <w:r>
        <w:rPr>
          <w:rFonts w:ascii="Times New Roman" w:eastAsia="Times New Roman" w:hAnsi="Times New Roman" w:cs="Times New Roman"/>
          <w:kern w:val="0"/>
          <w14:ligatures w14:val="none"/>
        </w:rPr>
        <w:t xml:space="preserve">): a probabilidade de que falhas algorítmicas causem dano clínico e a existência de condições reais para que o profissional responsável questione o resultado do sistema. </w:t>
      </w:r>
    </w:p>
    <w:p w14:paraId="2D58F546" w14:textId="48C648AF" w:rsidR="00FC0B2D" w:rsidRDefault="00FC0B2D" w:rsidP="00FC0B2D">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Esse conceito foi desenvolvido pelo Ministério da Segurança Alimentar e de Medicamentos da Coreia do Sul (MFDS, 2023). As perguntas de risco direto valem três pontos cada. Tratam de situações sem intervenção humana obrigatória, de sistemas adaptativos e de sistemas opacos. Sua proximidade com o risco direto ao participante justifica o peso maior. As perguntas de ausência de garantia valem dois pontos. Tratam de déficits documentais que, embora graves, são mais facilmente corrigíveis.</w:t>
      </w:r>
    </w:p>
    <w:p w14:paraId="597C2CB6" w14:textId="01EB2AC2" w:rsidR="008766EA" w:rsidRDefault="008766EA" w:rsidP="008766EA">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Bloco 3 avalia a qualidade, a origem e a representatividade dos dados de treinamento e de teste. A pontuação máxima é de 15 pontos. Cada pergunta vale dois pontos. O bloco tem fundamento direto no guia australiano e nas diretrizes do MFDS coreano, que documentaram que a ausência de validação local é um dos principais fatores de risco ético em protocolos que utilizam sistemas desenvolvidos em outros contextos (AUSTRALIA, 2023; MFDS, 2023). O bloco inclui pergunta sobre independência entre dados de treinamento e de teste. A diretriz da FDA estabelece que dados de teste devem ser rigorosamente independentes dos dados de desenvolvimento para que a avaliação de desempenho do modelo seja válida (FDA, 2025). Inclui também pergunta sobre representatividade por subgrupos populacionais. A Organização Mundial da Saúde identificou que modelos treinados predominantemente com dados de populações de alta renda e do hemisfério norte apresentam desempenho sistematicamente inferior quando aplicados a populações de diferentes características étnicas, socioeconômicas e geográficas (WHO, 2024). Essa lacuna é especialmente relevante para o contexto brasileiro.</w:t>
      </w:r>
    </w:p>
    <w:p w14:paraId="5F646D33" w14:textId="36A15C7A" w:rsidR="008766EA" w:rsidRDefault="008766EA" w:rsidP="008766EA">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Bloco 4 avalia a consequência da decisão. A pontuação máxima é de oito pontos. As duas primeiras perguntas valem três pontos cada. Essa assimetria é deliberada. As perguntas desse bloco tratam das situações de maior gravidade potencial em todo o instrumento: o sistema como único determinante de uma decisão sem revisão humana e a irreversibilidade do dano em caso de </w:t>
      </w:r>
      <w:r>
        <w:rPr>
          <w:rFonts w:ascii="Times New Roman" w:eastAsia="Times New Roman" w:hAnsi="Times New Roman" w:cs="Times New Roman"/>
          <w:kern w:val="0"/>
          <w14:ligatures w14:val="none"/>
        </w:rPr>
        <w:lastRenderedPageBreak/>
        <w:t>erro. A concentração de pontos em poucas perguntas de alto peso reflete a lógica da consequência da decisão desenvolvida pela FDA (2025). Quando o modelo opera com alta influência e baixa supervisão humana, a severidade do desfecho adverso potencial deve ser o fator dominante na avaliação de risco. A pontuação máxima desse bloco, por si só, pode deslocar um protocolo do Nível II para o Nível III. Esse deslocamento expressa a gravidade das situações que essas perguntas descrevem.</w:t>
      </w:r>
    </w:p>
    <w:p w14:paraId="6123077A" w14:textId="4F074532" w:rsidR="008766EA" w:rsidRDefault="008766EA" w:rsidP="00B81D7C">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Bloco 5 avalia o impacto sobre a pessoa participante. A pontuação máxima é de 52 pontos. Cada pergunta vale cinco ou seis pontos. As perguntas de maior impacto direto valem seis pontos: influência em decisões clínicas, risco de dano físico, risco de dano psíquico ou social e envolvimento de populações vulneráveis. O bloco tem suas bases na Lei n.º 14.874, de 28 de maio de 2024, e no Decreto n.º 12.651, de 2025, que estabelecem os princípios éticos fundamentais da pesquisa com seres humanos no Brasil (BRASIL, 2024; 2025). O bloco inclui pergunta sobre inferência de características sensíveis não coletadas explicitamente. O MRCT Center e WCG (2025) documentaram que grandes modelos de linguagem conseguem inferir identidades e atributos sensíveis a partir de dados aparentemente neutros. Esse risco não desaparece com a anonimização formal. O bloco inclui ainda pergunta sobre mecanismo de exclusão de dados do treinamento do modelo. As diretrizes do Indian Council of Medical Research instituem o direito do participante de solicitar a supressão de seus dados do repositório utilizado pela IA a qualquer tempo (ICMR, 2023). Nenhum dos modelos ocidentais analisados prevê esse direito. Este guia o incorpora como exigência ética.</w:t>
      </w:r>
    </w:p>
    <w:p w14:paraId="734E0240" w14:textId="77777777" w:rsidR="008766EA" w:rsidRDefault="008766EA" w:rsidP="00B81D7C">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Bloco 6 avalia a sensibilidade e a governança dos dados. A pontuação máxima é de 55 pontos. Cada pergunta vale entre cinco e sete pontos. As perguntas diretamente vinculadas à Lei Geral de Proteção de Dados Pessoais valem sete pontos cada. O bloco expressa uma escolha central do guia. A LGPD é o diferencial protetivo mais robusto do marco brasileiro em relação a todos os modelos internacionais analisados. </w:t>
      </w:r>
    </w:p>
    <w:p w14:paraId="5562CBD5" w14:textId="77777777" w:rsidR="008766EA" w:rsidRDefault="008766EA" w:rsidP="00B81D7C">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lei classifica dados de saúde como dados pessoais sensíveis e exige base legal específica, finalidade declarada e identificação do Encarregado de Dados para seu tratamento. Esse nível de proteção supera o da Lei de Proteção de Informações Pessoais chinesa (PIPL), o da Lei de Proteção de Informações Pessoais japonesa (APPI) e, especialmente, o da Lei de Proteção de Dados Pessoais Digitais indiana (</w:t>
      </w:r>
      <w:r>
        <w:rPr>
          <w:rFonts w:ascii="Times New Roman" w:eastAsia="Times New Roman" w:hAnsi="Times New Roman" w:cs="Times New Roman"/>
          <w:i/>
          <w:iCs/>
          <w:kern w:val="0"/>
          <w14:ligatures w14:val="none"/>
        </w:rPr>
        <w:t>Digital Personal Data Protection Act</w:t>
      </w:r>
      <w:r>
        <w:rPr>
          <w:rFonts w:ascii="Times New Roman" w:eastAsia="Times New Roman" w:hAnsi="Times New Roman" w:cs="Times New Roman"/>
          <w:kern w:val="0"/>
          <w14:ligatures w14:val="none"/>
        </w:rPr>
        <w:t xml:space="preserve">), de 2023, que suprimiu </w:t>
      </w:r>
      <w:r>
        <w:rPr>
          <w:rFonts w:ascii="Times New Roman" w:eastAsia="Times New Roman" w:hAnsi="Times New Roman" w:cs="Times New Roman"/>
          <w:kern w:val="0"/>
          <w14:ligatures w14:val="none"/>
        </w:rPr>
        <w:lastRenderedPageBreak/>
        <w:t xml:space="preserve">inteiramente a categoria de dados sensíveis de sua redação e equiparou prontuários de saúde a quaisquer outros dados pessoais (CARNEGIE ENDOWMENT, 2023). </w:t>
      </w:r>
    </w:p>
    <w:p w14:paraId="55CF2CA5" w14:textId="77777777" w:rsidR="008766EA" w:rsidRDefault="008766EA" w:rsidP="008766EA">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pergunta sobre transferência de dados para servidores fora do Brasil vale sete pontos. Dependendo do país receptor e das garantias contratuais estabelecidas, essa transferência pode comprometer integralmente a proteção conferida pela LGPD aos participantes da pesquisa. A pergunta sobre risco de reidentificação incorpora a preocupação documentada com a capacidade dos sistemas de IA de inferir identidades a partir de dados aparentemente anonimizados (MRCT CENTER; WCG, 2025). </w:t>
      </w:r>
    </w:p>
    <w:p w14:paraId="767336BA" w14:textId="28806F7E" w:rsidR="008766EA" w:rsidRPr="008766EA" w:rsidRDefault="008766EA" w:rsidP="00D05ECD">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Bloco 7 avalia as mitigações. É o único bloco com lógica bidirecional: perguntas de risco somam pontos ao total e perguntas de mitigação subtraem. A pontuação máxima é de 75 pontos. A capacidade de redução chega a 65 pontos. O bloco operacionaliza uma distinção herdada do modelo canadense. Mitigações não alteram o nível de risco determinado pelos demais blocos quando avaliados isoladamente. Reduzem a pontuação total e, por isso, podem deslocar o protocolo para um nível inferior na escala consolidada (CANADA, 2025). Essa lógica é mais flexível do que a da Versão A, em que mitigações não afetam o nível em nenhuma hipótese. Reflete a compreensão de que, na Versão B, a pontuação já incorpora a qualidade das salvaguardas adotadas pelo pesquisador como parte integrante da avaliação de risco.</w:t>
      </w:r>
    </w:p>
    <w:p w14:paraId="0DE4090C" w14:textId="145EC70E" w:rsidR="008766EA" w:rsidRDefault="008766EA" w:rsidP="008766EA">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bloco se divide em dois subblocos. O subbloco de consultas vale dez pontos. Avalia se o pesquisador buscou orientação técnica externa antes da submissão, incluindo consulta à ANVISA sobre o enquadramento do sistema como Programa de Computador como Dispositivo Médico (</w:t>
      </w:r>
      <w:r>
        <w:rPr>
          <w:rFonts w:ascii="Times New Roman" w:eastAsia="Times New Roman" w:hAnsi="Times New Roman" w:cs="Times New Roman"/>
          <w:i/>
          <w:iCs/>
          <w:kern w:val="0"/>
          <w14:ligatures w14:val="none"/>
        </w:rPr>
        <w:t>Software as a Medical Device</w:t>
      </w:r>
      <w:r>
        <w:rPr>
          <w:rFonts w:ascii="Times New Roman" w:eastAsia="Times New Roman" w:hAnsi="Times New Roman" w:cs="Times New Roman"/>
          <w:kern w:val="0"/>
          <w14:ligatures w14:val="none"/>
        </w:rPr>
        <w:t xml:space="preserve"> - SaMD). O subbloco de medidas de redução de risco (</w:t>
      </w:r>
      <w:r>
        <w:rPr>
          <w:rFonts w:ascii="Times New Roman" w:eastAsia="Times New Roman" w:hAnsi="Times New Roman" w:cs="Times New Roman"/>
          <w:i/>
          <w:iCs/>
          <w:kern w:val="0"/>
          <w14:ligatures w14:val="none"/>
        </w:rPr>
        <w:t>de-risking</w:t>
      </w:r>
      <w:r>
        <w:rPr>
          <w:rFonts w:ascii="Times New Roman" w:eastAsia="Times New Roman" w:hAnsi="Times New Roman" w:cs="Times New Roman"/>
          <w:kern w:val="0"/>
          <w14:ligatures w14:val="none"/>
        </w:rPr>
        <w:t>) vale 65 pontos. Avalia a qualidade dos mecanismos de supervisão humana, explicabilidade, monitoramento do ciclo de vida e gestão de falhas. O subbloco inclui pergunta sobre monitoramento de deriva de dados (</w:t>
      </w:r>
      <w:r>
        <w:rPr>
          <w:rFonts w:ascii="Times New Roman" w:eastAsia="Times New Roman" w:hAnsi="Times New Roman" w:cs="Times New Roman"/>
          <w:i/>
          <w:iCs/>
          <w:kern w:val="0"/>
          <w14:ligatures w14:val="none"/>
        </w:rPr>
        <w:t>data drift</w:t>
      </w:r>
      <w:r>
        <w:rPr>
          <w:rFonts w:ascii="Times New Roman" w:eastAsia="Times New Roman" w:hAnsi="Times New Roman" w:cs="Times New Roman"/>
          <w:kern w:val="0"/>
          <w14:ligatures w14:val="none"/>
        </w:rPr>
        <w:t>), ou seja, a degradação do desempenho do modelo ao longo do tempo. Essa pergunta tem fundamento no conceito de manutenção do ciclo de vida desenvolvido pela FDA (2025), operacionalizado pelo sistema IDATEN da agência regulatória japonesa (PMDA, [s.d.]) e pelo Protocolo de Mudança de Algoritmo (</w:t>
      </w:r>
      <w:r>
        <w:rPr>
          <w:rFonts w:ascii="Times New Roman" w:eastAsia="Times New Roman" w:hAnsi="Times New Roman" w:cs="Times New Roman"/>
          <w:i/>
          <w:iCs/>
          <w:kern w:val="0"/>
          <w14:ligatures w14:val="none"/>
        </w:rPr>
        <w:t xml:space="preserve">Algorithm Change Protocol) </w:t>
      </w:r>
      <w:r>
        <w:rPr>
          <w:rFonts w:ascii="Times New Roman" w:eastAsia="Times New Roman" w:hAnsi="Times New Roman" w:cs="Times New Roman"/>
          <w:kern w:val="0"/>
          <w14:ligatures w14:val="none"/>
        </w:rPr>
        <w:t>indiano (CDSCO, 2025).</w:t>
      </w:r>
    </w:p>
    <w:p w14:paraId="7B6CDD25" w14:textId="77777777" w:rsidR="00B81D7C" w:rsidRPr="00321471" w:rsidRDefault="00B81D7C" w:rsidP="00B81D7C">
      <w:pPr>
        <w:spacing w:after="0" w:line="360" w:lineRule="auto"/>
        <w:contextualSpacing/>
        <w:jc w:val="both"/>
        <w:rPr>
          <w:rFonts w:ascii="Times New Roman" w:eastAsia="Times New Roman" w:hAnsi="Times New Roman" w:cs="Times New Roman"/>
          <w:kern w:val="0"/>
          <w14:ligatures w14:val="none"/>
        </w:rPr>
      </w:pPr>
    </w:p>
    <w:p w14:paraId="1A6CC01E" w14:textId="77777777" w:rsidR="00B81D7C" w:rsidRPr="00321471" w:rsidRDefault="00B81D7C" w:rsidP="00B81D7C">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As faixas de nível e a calibração da pontuação</w:t>
      </w:r>
    </w:p>
    <w:p w14:paraId="4705DD41" w14:textId="565A4264" w:rsidR="00B81D7C" w:rsidRPr="00321471" w:rsidRDefault="00D05ECD" w:rsidP="00D05ECD">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As quatro faixas de nível foram calibradas a partir de dois princípios. O primeiro é a proporcionalidade. A faixa do Nível I é estreita, de zero a 50 pontos, porque protocolos com uso de IA verdadeiramente de baixo risco são raros e devem ser classificados com rigor. O segundo é a sensibilidade ao risco. A faixa do Nível IV cobre </w:t>
      </w:r>
      <w:r w:rsidR="005C7470">
        <w:rPr>
          <w:rFonts w:ascii="Times New Roman" w:eastAsia="Times New Roman" w:hAnsi="Times New Roman" w:cs="Times New Roman"/>
          <w:kern w:val="0"/>
          <w14:ligatures w14:val="none"/>
        </w:rPr>
        <w:t>58</w:t>
      </w:r>
      <w:r>
        <w:rPr>
          <w:rFonts w:ascii="Times New Roman" w:eastAsia="Times New Roman" w:hAnsi="Times New Roman" w:cs="Times New Roman"/>
          <w:kern w:val="0"/>
          <w14:ligatures w14:val="none"/>
        </w:rPr>
        <w:t xml:space="preserve"> pontos, de 181 a 2</w:t>
      </w:r>
      <w:r w:rsidR="005C7470">
        <w:rPr>
          <w:rFonts w:ascii="Times New Roman" w:eastAsia="Times New Roman" w:hAnsi="Times New Roman" w:cs="Times New Roman"/>
          <w:kern w:val="0"/>
          <w14:ligatures w14:val="none"/>
        </w:rPr>
        <w:t>38</w:t>
      </w:r>
      <w:r>
        <w:rPr>
          <w:rFonts w:ascii="Times New Roman" w:eastAsia="Times New Roman" w:hAnsi="Times New Roman" w:cs="Times New Roman"/>
          <w:kern w:val="0"/>
          <w14:ligatures w14:val="none"/>
        </w:rPr>
        <w:t>, porque protocolos nesse nível apresentam combinações de características graves em múltiplos blocos. A amplitude da faixa reflete a variação de gravidade dentro do próprio nível crítico. As faixas deverão ser testadas empiricamente com protocolos reais submetidos aos CEPs participantes do processo de validação do guia. Ajustes são possíveis antes da publicação final.</w:t>
      </w:r>
    </w:p>
    <w:p w14:paraId="4781B110" w14:textId="77777777" w:rsidR="00D05ECD" w:rsidRDefault="00D05ECD" w:rsidP="00B81D7C">
      <w:pPr>
        <w:spacing w:before="100" w:beforeAutospacing="1" w:after="100" w:afterAutospacing="1" w:line="360" w:lineRule="auto"/>
        <w:contextualSpacing/>
        <w:jc w:val="both"/>
        <w:rPr>
          <w:rFonts w:ascii="Times New Roman" w:eastAsia="Times New Roman" w:hAnsi="Times New Roman" w:cs="Times New Roman"/>
          <w:b/>
          <w:bCs/>
          <w:kern w:val="0"/>
          <w14:ligatures w14:val="none"/>
        </w:rPr>
      </w:pPr>
    </w:p>
    <w:p w14:paraId="4705DD28" w14:textId="6ECCF28B" w:rsidR="00B81D7C" w:rsidRPr="00321471" w:rsidRDefault="00B81D7C" w:rsidP="007476DD">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regra crítica na Versão B</w:t>
      </w:r>
    </w:p>
    <w:p w14:paraId="0CA7B168" w14:textId="170E474C" w:rsidR="00FE0138" w:rsidRDefault="007476DD" w:rsidP="007476DD">
      <w:pPr>
        <w:spacing w:after="0"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 Versão B, a regra crítica assume formulação diferente da Versão A. O nível determinado pela pontuação não pode ser alterado por decisão subjetiva do avaliador. A pontuação é o resultado objetivo da aplicação do instrumento. As mitigações já estão incorporadas na pontuação do Bloco 7. Constituem a única forma legítima de reduzir a pontuação final. Essa arquitetura preserva a integridade do instrumento. Impede que declarações de intenção não documentadas substituam evidências de controle efetivo do risco. O modelo canadense demonstrou que esse princípio é essencial para a credibilidade do instrumento perante pesquisadores, patrocinadores e a sociedade (CANADA, 2025).</w:t>
      </w:r>
    </w:p>
    <w:p w14:paraId="08017AEB" w14:textId="77777777" w:rsidR="00A0413F" w:rsidRDefault="00A0413F"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p>
    <w:p w14:paraId="2B99F5CE" w14:textId="3EABB92F" w:rsidR="00A0413F" w:rsidRDefault="002B5065"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7.3 Como aplicar a matriz: passos e procedimentos</w:t>
      </w:r>
    </w:p>
    <w:p w14:paraId="41F64DDB" w14:textId="77777777" w:rsidR="00A0413F" w:rsidRPr="007476DD" w:rsidRDefault="00A0413F" w:rsidP="00A0413F">
      <w:pPr>
        <w:spacing w:after="0"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matriz opera em quatro passos. O Passo 0 verifica se o protocolo exige avaliação aprofundada ou se o uso de IA é rotineiro. O Passo 1 delimita o objeto da avaliação por meio de duas perguntas descritivas obrigatórias. O Passo 2 percorre os cinco eixos de avaliação, que examinam a natureza do sistema, o impacto sobre o participante, a governança dos dados, a representatividade do modelo e a supervisão humana. O Passo 3 traduz os resultados em um dos quatro níveis de risco algorítmico. O Passo 4 associa a cada nível um conjunto de requisitos mínimos que o pesquisador deve demonstrar ter atendido. As seções a seguir descrevem cada passo. Os instrumentos completos constam nos Apêndices A e B.</w:t>
      </w:r>
    </w:p>
    <w:p w14:paraId="233B6BA6" w14:textId="77777777" w:rsidR="00A0413F" w:rsidRDefault="00A0413F"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p>
    <w:p w14:paraId="334E7F08" w14:textId="69C778A4" w:rsidR="00406E09" w:rsidRPr="00406E09" w:rsidRDefault="00A0413F"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7.3.1  Passo 0: Filtro de entrada</w:t>
      </w:r>
    </w:p>
    <w:p w14:paraId="393BF81A" w14:textId="77777777" w:rsidR="00406E09" w:rsidRPr="00406E09" w:rsidRDefault="00406E09" w:rsidP="00406E09">
      <w:pPr>
        <w:spacing w:before="100" w:beforeAutospacing="1" w:after="100" w:afterAutospacing="1" w:line="360" w:lineRule="auto"/>
        <w:ind w:firstLine="720"/>
        <w:contextualSpacing/>
        <w:jc w:val="both"/>
        <w:outlineLvl w:val="2"/>
        <w:rPr>
          <w:rFonts w:ascii="Times New Roman" w:hAnsi="Times New Roman" w:cs="Times New Roman"/>
        </w:rPr>
      </w:pPr>
      <w:r>
        <w:rPr>
          <w:rFonts w:ascii="Times New Roman" w:hAnsi="Times New Roman" w:cs="Times New Roman"/>
        </w:rPr>
        <w:lastRenderedPageBreak/>
        <w:t xml:space="preserve">O percurso de avaliação começa antes dos eixos e antes da pontuação. O primeiro passo é verificar se o protocolo submetido ao CEP demanda a aplicação da matriz. A pergunta é direta: o sistema de inteligência artificial realiza, neste protocolo, automação de decisão, geração de conteúdo ou intervenção na condução do estudo ou nos seus resultados?  </w:t>
      </w:r>
    </w:p>
    <w:p w14:paraId="274CCA8B" w14:textId="77777777" w:rsidR="00406E09" w:rsidRPr="00406E09" w:rsidRDefault="00406E09" w:rsidP="00406E09">
      <w:pPr>
        <w:spacing w:before="100" w:beforeAutospacing="1" w:after="100" w:afterAutospacing="1" w:line="360" w:lineRule="auto"/>
        <w:ind w:firstLine="720"/>
        <w:contextualSpacing/>
        <w:jc w:val="both"/>
        <w:outlineLvl w:val="2"/>
        <w:rPr>
          <w:rFonts w:ascii="Times New Roman" w:hAnsi="Times New Roman" w:cs="Times New Roman"/>
        </w:rPr>
      </w:pPr>
      <w:r>
        <w:rPr>
          <w:rFonts w:ascii="Times New Roman" w:hAnsi="Times New Roman" w:cs="Times New Roman"/>
        </w:rPr>
        <w:t>Se a resposta for negativa, o uso é classificado como rotineiro e a matriz não se aplica. Sistemas que operam exclusivamente como suporte administrativo, organização de referências bibliográficas, transcrição de áudio ou qualquer outra função que não influencie as decisões do estudo nem produza efeitos sobre a pessoa participante não entram no escopo da avaliação. O protocolo segue o fluxo ordinário do CEP.</w:t>
      </w:r>
    </w:p>
    <w:p w14:paraId="1F961852" w14:textId="28001C5C" w:rsidR="00406E09" w:rsidRPr="00406E09" w:rsidRDefault="00406E09" w:rsidP="00406E09">
      <w:pPr>
        <w:spacing w:before="100" w:beforeAutospacing="1" w:after="100" w:afterAutospacing="1" w:line="360" w:lineRule="auto"/>
        <w:ind w:firstLine="720"/>
        <w:contextualSpacing/>
        <w:jc w:val="both"/>
        <w:outlineLvl w:val="2"/>
        <w:rPr>
          <w:rFonts w:ascii="Times New Roman" w:eastAsia="Times New Roman" w:hAnsi="Times New Roman" w:cs="Times New Roman"/>
          <w:b/>
          <w:bCs/>
          <w:kern w:val="0"/>
          <w14:ligatures w14:val="none"/>
        </w:rPr>
      </w:pPr>
      <w:r>
        <w:rPr>
          <w:rFonts w:ascii="Times New Roman" w:hAnsi="Times New Roman" w:cs="Times New Roman"/>
        </w:rPr>
        <w:t>Se a resposta for afirmativa, o CEP prossegue para a caracterização do contexto de uso. O filtro não dispensa a menção ao uso de IA no protocolo. O pesquisador deve declarar qualquer uso de sistemas algorítmicos, ainda que rotineiro. O que o filtro determina é o nível de profundidade da avaliação.</w:t>
      </w:r>
    </w:p>
    <w:p w14:paraId="43B9D5B2" w14:textId="4802F729" w:rsidR="002B5065" w:rsidRDefault="002B5065" w:rsidP="00406E09">
      <w:pPr>
        <w:spacing w:after="0" w:line="360" w:lineRule="auto"/>
        <w:contextualSpacing/>
        <w:jc w:val="both"/>
        <w:rPr>
          <w:rFonts w:ascii="Times New Roman" w:eastAsia="Times New Roman" w:hAnsi="Times New Roman" w:cs="Times New Roman"/>
          <w:kern w:val="0"/>
          <w14:ligatures w14:val="none"/>
        </w:rPr>
      </w:pPr>
    </w:p>
    <w:p w14:paraId="7258B191" w14:textId="77777777" w:rsidR="00406E09" w:rsidRPr="00406E09" w:rsidRDefault="00406E09" w:rsidP="00406E09">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distinção entre uso rotineiro e uso não rotineiro tem fundamento no referencial do MRCT Center e WCG (2025). A ausência de um critério de entrada claro leva os CEPs a avaliarem indiscriminadamente ferramentas de baixíssimo impacto junto a sistemas de alto risco. Esse equívoco compromete a eficiência e a proporcionalidade do processo. O filtro de entrada resolve esse problema antes que ele ocorra.</w:t>
      </w:r>
    </w:p>
    <w:p w14:paraId="22FA4399" w14:textId="6EB5601F" w:rsidR="00406E09" w:rsidRPr="00406E09" w:rsidRDefault="00406E09" w:rsidP="00406E09">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obrigação de declarar o uso de inteligência artificial na pesquisa antecede as matrizes deste guia. A Política de Integridade na Atividade Científica do Conselho Nacional de Desenvolvimento Científico e Tecnológico, instituída pela Portaria de 11 de março de 2026, determina que qualquer uso de inteligência artificial generativa deve ser declarado, com especificação da ferramenta utilizada e da finalidade, em qualquer fase do desenvolvimento da pesquisa (CNPq, 2026). O filtro de entrada da matriz verifica, antes de qualquer outra etapa, se essa declaração está presente e se o papel do sistema está descrito com precisão suficiente para viabilizar a avaliação. A ausência dessas informações não configura lacuna documental. Configura violação de integridade científica com respaldo normativo expresso na legislação federal vigente.</w:t>
      </w:r>
    </w:p>
    <w:p w14:paraId="7377C306" w14:textId="77777777" w:rsidR="00F706BF" w:rsidRDefault="00F706BF"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p>
    <w:p w14:paraId="4B47F1A8" w14:textId="22EAB9F5" w:rsidR="002B5065" w:rsidRPr="00406E09" w:rsidRDefault="002B5065"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7.3.2 Passo 1: Caracterização do contexto de uso</w:t>
      </w:r>
    </w:p>
    <w:p w14:paraId="26D4080B" w14:textId="77777777" w:rsidR="00F706BF" w:rsidRPr="00F706BF" w:rsidRDefault="00F706BF" w:rsidP="00F706BF">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Aprovado o filtro de entrada, o CEP solicita ao pesquisador a resposta a duas perguntas descritivas, obrigatórias em ambas as versões da matriz.</w:t>
      </w:r>
    </w:p>
    <w:p w14:paraId="0F356D66" w14:textId="77777777" w:rsidR="00F706BF" w:rsidRPr="00F706BF" w:rsidRDefault="00F706BF" w:rsidP="00F706BF">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primeira: qual é a pergunta que o sistema de IA foi desenvolvido para responder neste protocolo? A segunda: o sistema responde a essa pergunta de forma autônoma ou subsidia uma decisão tomada por um ser humano?</w:t>
      </w:r>
    </w:p>
    <w:p w14:paraId="07C50B96" w14:textId="52DCE008" w:rsidR="00F706BF" w:rsidRDefault="00F706BF" w:rsidP="00F706BF">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Essas perguntas não pontuam e não determinam o nível de risco por si mesmas. Delimitam o objeto da avaliação. Impedem que o CEP avalie o sistema em abstrato, desvinculado do protocolo concreto submetido à análise. Um mesmo sistema de IA pode apresentar perfis de risco radicalmente distintos conforme o papel que desempenha em cada protocolo. Um modelo de linguagem utilizado para apoiar a codificação de dados qualitativos é um objeto de avaliação diferente do mesmo modelo utilizado para gerar recomendações terapêuticas personalizadas. O contexto de uso define o que está sendo avaliado.</w:t>
      </w:r>
    </w:p>
    <w:p w14:paraId="10955C9E" w14:textId="09E3EB42" w:rsidR="002B5065" w:rsidRPr="00406E09" w:rsidRDefault="002B5065" w:rsidP="00F706BF">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Esse conceito foi desenvolvido pela </w:t>
      </w:r>
      <w:r>
        <w:rPr>
          <w:rFonts w:ascii="Times New Roman" w:eastAsia="Times New Roman" w:hAnsi="Times New Roman" w:cs="Times New Roman"/>
          <w:i/>
          <w:iCs/>
          <w:kern w:val="0"/>
          <w14:ligatures w14:val="none"/>
        </w:rPr>
        <w:t xml:space="preserve">Food and Drug Administration </w:t>
      </w:r>
      <w:r>
        <w:rPr>
          <w:rFonts w:ascii="Times New Roman" w:eastAsia="Times New Roman" w:hAnsi="Times New Roman" w:cs="Times New Roman"/>
          <w:kern w:val="0"/>
          <w14:ligatures w14:val="none"/>
        </w:rPr>
        <w:t>dos Estados Unidos, que demonstrou ser impossível avaliar a credibilidade de um sistema de IA para fins regulatórios sem antes definir com precisão para qual pergunta ele foi desenvolvido e em qual contexto de uso específico será aplicado (FDA, 2025). A Matriz do INAEP incorpora essa exigência como etapa prévia obrigatória, anterior a qualquer classificação de risco.</w:t>
      </w:r>
    </w:p>
    <w:p w14:paraId="4D0ED8F0" w14:textId="7E8B79B4" w:rsidR="002B5065" w:rsidRPr="00406E09" w:rsidRDefault="002B5065" w:rsidP="00406E09">
      <w:pPr>
        <w:spacing w:after="0" w:line="360" w:lineRule="auto"/>
        <w:contextualSpacing/>
        <w:jc w:val="both"/>
        <w:rPr>
          <w:rFonts w:ascii="Times New Roman" w:eastAsia="Times New Roman" w:hAnsi="Times New Roman" w:cs="Times New Roman"/>
          <w:kern w:val="0"/>
          <w14:ligatures w14:val="none"/>
        </w:rPr>
      </w:pPr>
    </w:p>
    <w:p w14:paraId="4DA54A3A" w14:textId="4F64C185" w:rsidR="002B5065" w:rsidRPr="00406E09" w:rsidRDefault="002B5065"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7.3.3 Passo 2: Os cinco eixos de avaliação</w:t>
      </w:r>
    </w:p>
    <w:p w14:paraId="591D6125" w14:textId="0C418810" w:rsidR="002B5065" w:rsidRPr="00406E09" w:rsidRDefault="00C15595" w:rsidP="00C618FB">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hAnsi="Times New Roman" w:cs="Times New Roman"/>
          <w:color w:val="000000"/>
        </w:rPr>
        <w:t xml:space="preserve">Após caracterizar o contexto de uso, o CEP avalia os cinco eixos do risco algorítmico. Cada eixo corresponde a uma dimensão, cujo nível de risco é definido por respostas qualitativas (Versão A) ou pontuação ponderada (Versão B). </w:t>
      </w:r>
      <w:r>
        <w:rPr>
          <w:rFonts w:ascii="Times New Roman" w:eastAsia="Times New Roman" w:hAnsi="Times New Roman" w:cs="Times New Roman"/>
          <w:kern w:val="0"/>
          <w14:ligatures w14:val="none"/>
        </w:rPr>
        <w:t>Os cinco eixos são descritos a seguir. As perguntas de cada eixo constam integralmente nos Apêndices A e B.</w:t>
      </w:r>
    </w:p>
    <w:p w14:paraId="4735B66C" w14:textId="22351D07" w:rsidR="00FD7034" w:rsidRDefault="00FD7034" w:rsidP="00A23B5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Eixo 1 examina a natureza e a autonomia do sistema. Avalia se opera de forma autônoma ou sob supervisão humana obrigatória, se é adaptativo, se é explicável e se foi validado antes do uso no protocolo. O eixo articula dois referenciais distintos. A FDA (2025) desenvolveu o conceito de influência do modelo: o quanto a IA pesa na decisão final em relação a outras fontes de evidência. O Ministério da Segurança Alimentar e de Medicamentos da Coreia do Sul desenvolveu os conceitos de potencial de falha (</w:t>
      </w:r>
      <w:r>
        <w:rPr>
          <w:rFonts w:ascii="Times New Roman" w:eastAsia="Times New Roman" w:hAnsi="Times New Roman" w:cs="Times New Roman"/>
          <w:i/>
          <w:iCs/>
          <w:kern w:val="0"/>
          <w14:ligatures w14:val="none"/>
        </w:rPr>
        <w:t>Malfunction Potential</w:t>
      </w:r>
      <w:r>
        <w:rPr>
          <w:rFonts w:ascii="Times New Roman" w:eastAsia="Times New Roman" w:hAnsi="Times New Roman" w:cs="Times New Roman"/>
          <w:kern w:val="0"/>
          <w14:ligatures w14:val="none"/>
        </w:rPr>
        <w:t>) e oportunidade de contestação (</w:t>
      </w:r>
      <w:r>
        <w:rPr>
          <w:rFonts w:ascii="Times New Roman" w:eastAsia="Times New Roman" w:hAnsi="Times New Roman" w:cs="Times New Roman"/>
          <w:i/>
          <w:iCs/>
          <w:kern w:val="0"/>
          <w14:ligatures w14:val="none"/>
        </w:rPr>
        <w:t>Opportunity to Override</w:t>
      </w:r>
      <w:r>
        <w:rPr>
          <w:rFonts w:ascii="Times New Roman" w:eastAsia="Times New Roman" w:hAnsi="Times New Roman" w:cs="Times New Roman"/>
          <w:kern w:val="0"/>
          <w14:ligatures w14:val="none"/>
        </w:rPr>
        <w:t xml:space="preserve">) (MFDS, 2023). O primeiro avalia a probabilidade de que falhas </w:t>
      </w:r>
      <w:r>
        <w:rPr>
          <w:rFonts w:ascii="Times New Roman" w:eastAsia="Times New Roman" w:hAnsi="Times New Roman" w:cs="Times New Roman"/>
          <w:kern w:val="0"/>
          <w14:ligatures w14:val="none"/>
        </w:rPr>
        <w:lastRenderedPageBreak/>
        <w:t>algorítmicas gerem risco clínico. O segundo avalia o grau em que os profissionais têm condições concretas de questionar as decisões do sistema.</w:t>
      </w:r>
    </w:p>
    <w:p w14:paraId="1E55A08A" w14:textId="7C2F8CB3" w:rsidR="00FD7034" w:rsidRDefault="00FD7034" w:rsidP="00A23B53">
      <w:pPr>
        <w:spacing w:before="100" w:beforeAutospacing="1" w:after="100" w:afterAutospacing="1" w:line="360" w:lineRule="auto"/>
        <w:ind w:firstLine="720"/>
        <w:contextualSpacing/>
        <w:jc w:val="both"/>
        <w:rPr>
          <w:rFonts w:ascii="Times New Roman" w:hAnsi="Times New Roman" w:cs="Times New Roman"/>
          <w:color w:val="000000"/>
        </w:rPr>
      </w:pPr>
      <w:r>
        <w:rPr>
          <w:rFonts w:ascii="Times New Roman" w:hAnsi="Times New Roman" w:cs="Times New Roman"/>
          <w:color w:val="000000"/>
        </w:rPr>
        <w:t>O Eixo 2 examina o impacto sobre a pessoa participante. Avalia se o sistema afeta decisões clínicas, se pode causar danos físicos, psíquicos, sociais ou econômicos, se envolve populações vulneráveis e se infere características sensíveis não fornecidas diretamente pelo participante. O eixo tem fundamento direto na legislação brasileira de pesquisa com seres humanos (BRASIL, 2024; 2025). Incorpora ainda o direito do participante de solicitar a exclusão de seus dados do treinamento do modelo, instituído pelas diretrizes do Indian Council of Medical Research (ICMR, 2023).</w:t>
      </w:r>
    </w:p>
    <w:p w14:paraId="63E35F9F" w14:textId="640E9421" w:rsidR="00BF4E98" w:rsidRDefault="00BF4E98" w:rsidP="00A23B5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Eixo 3 examina a sensibilidade e a governança dos dados. Avalia se os dados tratados no protocolo são sensíveis nos termos da LGPD, se são transferidos para servidores fora do Brasil, se há risco real de reidentificação, se o consentimento cobre o uso para treinamento de modelos e se há plano de resposta a incidentes. O eixo está mais diretamente ancorado no direito brasileiro do que qualquer outro da matriz. Na Versão B, recebe o maior peso regulatório do instrumento.</w:t>
      </w:r>
    </w:p>
    <w:p w14:paraId="72671633" w14:textId="5CF9529E" w:rsidR="00A23B53" w:rsidRDefault="00A23B53" w:rsidP="00A23B53">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Eixo 4 examina a representatividade e a transferibilidade do modelo. Avalia se os dados de treinamento representam a diversidade da população-alvo do protocolo, se o modelo foi validado em contexto comparável ao SUS, se há avaliação de desempenho por subgrupos populacionais e se os dados de teste são independentes dos dados de treinamento. O eixo responde a uma das principais lacunas éticas identificadas na literatura internacional. Modelos treinados predominantemente com dados de populações de alta renda e do hemisfério norte apresentam desempenho sistematicamente inferior quando aplicados a populações de diferentes características étnicas, socioeconômicas e geográficas (WHO, 2024). Essa lacuna é especialmente crítica para protocolos conduzidos no âmbito do SUS.</w:t>
      </w:r>
    </w:p>
    <w:p w14:paraId="49395684" w14:textId="101E77CC" w:rsidR="00406E09" w:rsidRPr="00A23B53" w:rsidRDefault="00A23B53" w:rsidP="00A23B53">
      <w:pPr>
        <w:spacing w:before="100" w:beforeAutospacing="1" w:after="100" w:afterAutospacing="1" w:line="360" w:lineRule="auto"/>
        <w:ind w:firstLine="720"/>
        <w:contextualSpacing/>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Eixo 5 examina a supervisão humana e a explicabilidade. Avalia se há revisão humana obrigatória antes da execução das decisões, se a equipe tem competência técnica para interpretar e contestar os resultados, se há monitoramento contínuo do desempenho e se há protocolo documentado para falhas e para o retreinamento do modelo. O fundamento central do eixo é o princípio da autonomia médica irrevogável enunciado pelo ICMR (2023). A inteligência artificial serve para amplificação diagnóstica. Não substitui o julgamento clínico. O eixo incorpora ainda o conceito de manutenção do ciclo de vida desenvolvido pela FDA (2025) e operacionalizado pelo </w:t>
      </w:r>
      <w:r>
        <w:rPr>
          <w:rFonts w:ascii="Times New Roman" w:eastAsia="Times New Roman" w:hAnsi="Times New Roman" w:cs="Times New Roman"/>
          <w:kern w:val="0"/>
          <w14:ligatures w14:val="none"/>
        </w:rPr>
        <w:lastRenderedPageBreak/>
        <w:t>sistema de avaliação tempestiva de inovação (</w:t>
      </w:r>
      <w:r>
        <w:rPr>
          <w:rFonts w:ascii="Times New Roman" w:eastAsia="Times New Roman" w:hAnsi="Times New Roman" w:cs="Times New Roman"/>
          <w:i/>
          <w:iCs/>
          <w:kern w:val="0"/>
          <w14:ligatures w14:val="none"/>
        </w:rPr>
        <w:t>Improvement Design within Approval for Timely Evaluation Notice</w:t>
      </w:r>
      <w:r>
        <w:rPr>
          <w:rFonts w:ascii="Times New Roman" w:eastAsia="Times New Roman" w:hAnsi="Times New Roman" w:cs="Times New Roman"/>
          <w:kern w:val="0"/>
          <w14:ligatures w14:val="none"/>
        </w:rPr>
        <w:t xml:space="preserve"> — IDATEN) da agência regulatória japonesa (PMDA, [s.d.]).</w:t>
      </w:r>
    </w:p>
    <w:p w14:paraId="53252E72" w14:textId="77777777" w:rsidR="00A23B53" w:rsidRDefault="00A23B53"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p>
    <w:p w14:paraId="7AD8F697" w14:textId="7CD5CF2C" w:rsidR="002B5065" w:rsidRPr="00406E09" w:rsidRDefault="002B5065"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7.3.4 Passo 3  Níveis I a IV</w:t>
      </w:r>
    </w:p>
    <w:p w14:paraId="7078ECB3" w14:textId="77777777" w:rsidR="002B5065" w:rsidRPr="00406E09" w:rsidRDefault="002B5065" w:rsidP="00B7529B">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resultado da avaliação pelos cinco eixos é a classificação do protocolo em um dos quatro níveis de risco algorítmico. Os níveis não são categorias de aprovação ou reprovação — são classificações que determinam o conjunto de requisitos mínimos que o pesquisador deve demonstrar ter atendido antes da aprovação pelo CEP.</w:t>
      </w:r>
    </w:p>
    <w:p w14:paraId="6A1D73CE" w14:textId="68BF53B3" w:rsidR="002B5065" w:rsidRPr="00406E09" w:rsidRDefault="002B5065" w:rsidP="00B7529B">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w:t>
      </w:r>
      <w:r>
        <w:rPr>
          <w:rFonts w:ascii="Times New Roman" w:eastAsia="Times New Roman" w:hAnsi="Times New Roman" w:cs="Times New Roman"/>
          <w:b/>
          <w:bCs/>
          <w:kern w:val="0"/>
          <w14:ligatures w14:val="none"/>
        </w:rPr>
        <w:t>Nível I  (Baixo)</w:t>
      </w:r>
      <w:r>
        <w:rPr>
          <w:rFonts w:ascii="Times New Roman" w:eastAsia="Times New Roman" w:hAnsi="Times New Roman" w:cs="Times New Roman"/>
          <w:kern w:val="0"/>
          <w14:ligatures w14:val="none"/>
        </w:rPr>
        <w:t xml:space="preserve"> corresponde a protocolos em que o sistema de IA opera com autonomia limitada, sem influência direta sobre decisões clínicas ou terapêuticas, com dados de baixa sensibilidade e supervisão humana efetiva. Exemplos típicos incluem o uso de IA para organização e categorização de referências bibliográficas, transcrição automatizada de entrevistas ou apoio à análise exploratória de dados não identificados.</w:t>
      </w:r>
    </w:p>
    <w:p w14:paraId="06F08B84" w14:textId="5E7D329A" w:rsidR="002B5065" w:rsidRPr="00406E09" w:rsidRDefault="002B5065" w:rsidP="00B7529B">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w:t>
      </w:r>
      <w:r>
        <w:rPr>
          <w:rFonts w:ascii="Times New Roman" w:eastAsia="Times New Roman" w:hAnsi="Times New Roman" w:cs="Times New Roman"/>
          <w:b/>
          <w:bCs/>
          <w:kern w:val="0"/>
          <w14:ligatures w14:val="none"/>
        </w:rPr>
        <w:t>Nível II (Moderado)</w:t>
      </w:r>
      <w:r>
        <w:rPr>
          <w:rFonts w:ascii="Times New Roman" w:eastAsia="Times New Roman" w:hAnsi="Times New Roman" w:cs="Times New Roman"/>
          <w:kern w:val="0"/>
          <w14:ligatures w14:val="none"/>
        </w:rPr>
        <w:t xml:space="preserve"> corresponde a protocolos em que o sistema de IA desempenha papel mais relevante no protocolo, mas com consequências reversíveis e supervisão humana garantida. Exemplos típicos incluem o uso de modelos de linguagem para apoio à codificação qualitativa, sistemas de triagem de elegibilidade de participantes ou ferramentas de análise de imagens médicas com revisão humana obrigatória.</w:t>
      </w:r>
    </w:p>
    <w:p w14:paraId="55250D16" w14:textId="6D21E65C" w:rsidR="002B5065" w:rsidRPr="00406E09" w:rsidRDefault="002B5065" w:rsidP="00B7529B">
      <w:pPr>
        <w:spacing w:before="100" w:beforeAutospacing="1" w:after="100" w:afterAutospacing="1"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w:t>
      </w:r>
      <w:r>
        <w:rPr>
          <w:rFonts w:ascii="Times New Roman" w:eastAsia="Times New Roman" w:hAnsi="Times New Roman" w:cs="Times New Roman"/>
          <w:b/>
          <w:bCs/>
          <w:kern w:val="0"/>
          <w14:ligatures w14:val="none"/>
        </w:rPr>
        <w:t>Nível III (Alto)</w:t>
      </w:r>
      <w:r>
        <w:rPr>
          <w:rFonts w:ascii="Times New Roman" w:eastAsia="Times New Roman" w:hAnsi="Times New Roman" w:cs="Times New Roman"/>
          <w:kern w:val="0"/>
          <w14:ligatures w14:val="none"/>
        </w:rPr>
        <w:t xml:space="preserve"> corresponde a protocolos em que o sistema de IA influencia diretamente decisões com potencial de dano ao participante, opera com dados sensíveis em larga escala ou apresenta limitações documentadas de representatividade e transferibilidade. Exemplos típicos incluem sistemas de apoio diagnóstico em unidades básicas de saúde, modelos preditivos de risco em ensaios clínicos e ferramentas de estratificação de pacientes para protocolos terapêuticos.</w:t>
      </w:r>
    </w:p>
    <w:p w14:paraId="3D4F6204" w14:textId="09FE8DFB" w:rsidR="002B5065" w:rsidRPr="00406E09" w:rsidRDefault="00B7529B" w:rsidP="00B7529B">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 Nível IV corresponde ao risco crítico. Enquadram-se nesse nível os protocolos em que o sistema opera com alta autonomia em decisões de impacto direto e potencialmente irreversível sobre o participante, sem supervisão humana efetiva ou com lacunas graves de validação e governança. São exemplos típicos: sistemas autônomos de decisão terapêutica, ferramentas de diagnóstico sem revisão humana obrigatória e modelos de prognóstico utilizados para definir elegibilidade em estudos de acesso a tratamentos experimentais.</w:t>
      </w:r>
    </w:p>
    <w:p w14:paraId="6FC138DD" w14:textId="77777777" w:rsidR="00B7529B" w:rsidRDefault="00B7529B"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p>
    <w:p w14:paraId="2970123D" w14:textId="28636AAD" w:rsidR="002B5065" w:rsidRPr="00406E09" w:rsidRDefault="002B5065" w:rsidP="00406E09">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7.3.5 Passo 4 Requisitos por nível</w:t>
      </w:r>
    </w:p>
    <w:p w14:paraId="52990590" w14:textId="77777777" w:rsidR="00B7529B" w:rsidRPr="00B7529B" w:rsidRDefault="00B7529B" w:rsidP="00B7529B">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 cada nível corresponde um conjunto de requisitos mínimos que o pesquisador deve atender antes da aprovação do protocolo pelo CEP. Os requisitos são cumulativos. Os do Nível II incluem os do Nível I. Os do Nível III incluem os dos Níveis I e II. Os do Nível IV incluem todos os anteriores.</w:t>
      </w:r>
    </w:p>
    <w:p w14:paraId="1F7F7B33" w14:textId="77777777" w:rsidR="00B7529B" w:rsidRPr="00B7529B" w:rsidRDefault="00B7529B" w:rsidP="00B7529B">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Nível I, exige-se a declaração de uso de IA no protocolo e a menção, no Termo de Consentimento Livre e Esclarecido, de que um sistema algorítmico será utilizado e qual é o seu papel no estudo.</w:t>
      </w:r>
    </w:p>
    <w:p w14:paraId="13E628DC" w14:textId="77777777" w:rsidR="00B7529B" w:rsidRPr="00B7529B" w:rsidRDefault="00B7529B" w:rsidP="00B7529B">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Nível II, acrescentam-se a descrição do sistema e a origem dos dados de treinamento, a demonstração de conformidade com a LGPD e a indicação da base legal para o tratamento dos dados utilizados.</w:t>
      </w:r>
    </w:p>
    <w:p w14:paraId="244FED5E" w14:textId="3BDCECDB" w:rsidR="00B7529B" w:rsidRPr="00B7529B" w:rsidRDefault="00B7529B" w:rsidP="00BA29A4">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Nível III, acrescentam-se a documentação de validação técnica do sistema, a análise de desempenho por subgrupos populacionais relevantes, a comprovação de mecanismo de supervisão humana efetiva no circuito decisório (</w:t>
      </w:r>
      <w:r>
        <w:rPr>
          <w:rFonts w:ascii="Times New Roman" w:eastAsia="Times New Roman" w:hAnsi="Times New Roman" w:cs="Times New Roman"/>
          <w:i/>
          <w:iCs/>
          <w:kern w:val="0"/>
          <w14:ligatures w14:val="none"/>
        </w:rPr>
        <w:t>human-in-the-loop</w:t>
      </w:r>
      <w:r>
        <w:rPr>
          <w:rFonts w:ascii="Times New Roman" w:eastAsia="Times New Roman" w:hAnsi="Times New Roman" w:cs="Times New Roman"/>
          <w:kern w:val="0"/>
          <w14:ligatures w14:val="none"/>
        </w:rPr>
        <w:t>) e a identificação do Encarregado de Dados da instituição responsável pelo estudo.</w:t>
      </w:r>
    </w:p>
    <w:p w14:paraId="2951FBCD" w14:textId="77777777" w:rsidR="00B7529B" w:rsidRPr="00B7529B" w:rsidRDefault="00B7529B" w:rsidP="00BA29A4">
      <w:pPr>
        <w:spacing w:after="0" w:line="360" w:lineRule="auto"/>
        <w:contextualSpacing/>
        <w:jc w:val="both"/>
        <w:rPr>
          <w:rFonts w:ascii="Times New Roman" w:eastAsia="Times New Roman" w:hAnsi="Times New Roman" w:cs="Times New Roman"/>
          <w:kern w:val="0"/>
          <w14:ligatures w14:val="none"/>
        </w:rPr>
      </w:pPr>
    </w:p>
    <w:p w14:paraId="29E1E5C5" w14:textId="2AA80673" w:rsidR="002B5065" w:rsidRPr="00406E09" w:rsidRDefault="00B7529B" w:rsidP="00BA29A4">
      <w:pPr>
        <w:spacing w:after="0" w:line="360" w:lineRule="auto"/>
        <w:ind w:firstLine="720"/>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Nível IV, acrescentam-se o parecer técnico externo sobre o sistema, o plano de monitoramento contínuo com critérios definidos de interrupção, a notificação à ANVISA quando o sistema se enquadrar como Programa de Computador como Dispositivo Médico (</w:t>
      </w:r>
      <w:r>
        <w:rPr>
          <w:rFonts w:ascii="Times New Roman" w:eastAsia="Times New Roman" w:hAnsi="Times New Roman" w:cs="Times New Roman"/>
          <w:i/>
          <w:iCs/>
          <w:kern w:val="0"/>
          <w14:ligatures w14:val="none"/>
        </w:rPr>
        <w:t>Software as a Medical Device</w:t>
      </w:r>
      <w:r>
        <w:rPr>
          <w:rFonts w:ascii="Times New Roman" w:eastAsia="Times New Roman" w:hAnsi="Times New Roman" w:cs="Times New Roman"/>
          <w:kern w:val="0"/>
          <w14:ligatures w14:val="none"/>
        </w:rPr>
        <w:t xml:space="preserve"> - SaMD) e a submissão do protocolo à apreciação em instância superior do CEP, quando prevista no regimento institucional.</w:t>
      </w:r>
    </w:p>
    <w:p w14:paraId="6F9013B1" w14:textId="77777777" w:rsidR="00B7529B" w:rsidRDefault="00B7529B" w:rsidP="00BA29A4">
      <w:pPr>
        <w:spacing w:before="100" w:beforeAutospacing="1" w:after="100" w:afterAutospacing="1" w:line="360" w:lineRule="auto"/>
        <w:contextualSpacing/>
        <w:jc w:val="both"/>
        <w:outlineLvl w:val="2"/>
        <w:rPr>
          <w:rFonts w:ascii="Times New Roman" w:eastAsia="Times New Roman" w:hAnsi="Times New Roman" w:cs="Times New Roman"/>
          <w:b/>
          <w:bCs/>
          <w:kern w:val="0"/>
          <w14:ligatures w14:val="none"/>
        </w:rPr>
      </w:pPr>
    </w:p>
    <w:p w14:paraId="7BC84B75" w14:textId="6AB6C8F4" w:rsidR="00B7529B" w:rsidRDefault="00B7529B" w:rsidP="00823501">
      <w:pPr>
        <w:pStyle w:val="NormalWeb"/>
        <w:spacing w:line="360" w:lineRule="auto"/>
        <w:contextualSpacing/>
        <w:jc w:val="both"/>
      </w:pPr>
      <w:r>
        <w:rPr>
          <w:rStyle w:val="Strong"/>
        </w:rPr>
        <w:t>7.3.6 A regra crítica</w:t>
      </w:r>
    </w:p>
    <w:p w14:paraId="4E03C5C2" w14:textId="77777777" w:rsidR="00B7529B" w:rsidRDefault="00B7529B" w:rsidP="00823501">
      <w:pPr>
        <w:pStyle w:val="NormalWeb"/>
        <w:spacing w:line="360" w:lineRule="auto"/>
        <w:ind w:firstLine="720"/>
        <w:contextualSpacing/>
        <w:jc w:val="both"/>
      </w:pPr>
      <w:r>
        <w:t>O nível de risco determinado pela avaliação não muda com as mitigações apresentadas pelo pesquisador após a classificação. Isso vale para a lógica qualitativa da Versão A e para a pontuação da Versão B. Apenas os requisitos exigidos podem ser ajustados em função das garantias demonstradas.</w:t>
      </w:r>
    </w:p>
    <w:p w14:paraId="01C67FDE" w14:textId="77777777" w:rsidR="00B7529B" w:rsidRDefault="00B7529B" w:rsidP="00823501">
      <w:pPr>
        <w:pStyle w:val="NormalWeb"/>
        <w:spacing w:line="360" w:lineRule="auto"/>
        <w:ind w:firstLine="720"/>
        <w:contextualSpacing/>
        <w:jc w:val="both"/>
      </w:pPr>
      <w:r>
        <w:t xml:space="preserve">A regra tem fundamento direto no modelo canadense de Avaliação de Impacto Algorítmico (CANADA, 2025). Permitir que mitigações reduzam o nível de risco cria um incentivo estruturalmente perverso. Pesquisadores passam a declarar salvaguardas para obter classificações mais favoráveis. Deixam de demonstrar que o risco foi efetivamente controlado. A separação entre </w:t>
      </w:r>
      <w:r>
        <w:lastRenderedPageBreak/>
        <w:t>nível de risco e requisitos exigidos preserva a integridade do instrumento. Preserva também a clareza da comunicação entre pesquisador e comitê.</w:t>
      </w:r>
    </w:p>
    <w:p w14:paraId="4297BCA1" w14:textId="33C4A135" w:rsidR="00297E77" w:rsidRDefault="00B7529B" w:rsidP="00823501">
      <w:pPr>
        <w:pStyle w:val="NormalWeb"/>
        <w:spacing w:line="360" w:lineRule="auto"/>
        <w:ind w:firstLine="720"/>
        <w:contextualSpacing/>
        <w:jc w:val="both"/>
      </w:pPr>
      <w:r>
        <w:t>Na Versão B, as mitigações já estão incorporadas na pontuação do Bloco 7. Constituem a única forma legítima de reduzir a pontuação final. Essa é a única forma pela qual mitigações influenciam o resultado, pois já estão incorporadas ao cálculo do instrumento.</w:t>
      </w:r>
    </w:p>
    <w:p w14:paraId="7EFACEC1" w14:textId="3D20FBEF" w:rsidR="00B7529B" w:rsidRDefault="00B7529B" w:rsidP="00823501">
      <w:pPr>
        <w:pStyle w:val="NormalWeb"/>
        <w:spacing w:line="360" w:lineRule="auto"/>
        <w:ind w:firstLine="720"/>
        <w:contextualSpacing/>
        <w:jc w:val="both"/>
      </w:pPr>
      <w:r>
        <w:t xml:space="preserve">A regra crítica expressa o princípio que orienta todo este capítulo. O CEP não avalia intenções. Avalia evidências. A inteligência artificial que um protocolo descreve como supervisionada, explicável e validada precisa demonstrar que é supervisionada, explicável e validada. A matriz existe para tornar essa demonstração sistemática. A responsabilidade por exigi-la permanece com o Comitê. </w:t>
      </w:r>
    </w:p>
    <w:p w14:paraId="53D68E53" w14:textId="1DB2B55B" w:rsidR="00BF7195" w:rsidRDefault="00BF7195" w:rsidP="00823501">
      <w:pPr>
        <w:pStyle w:val="NormalWeb"/>
        <w:spacing w:line="360" w:lineRule="auto"/>
        <w:ind w:firstLine="720"/>
        <w:contextualSpacing/>
        <w:jc w:val="both"/>
      </w:pPr>
      <w:r>
        <w:t>A coexistência entre pontuação ponderada e regra crítica merece formulação explícita para evitar leitura ambígua. As duas operam em momentos distintos e com lógicas distintas. A pontuação percorre os sete blocos, acumula o perfil de risco distribuído do protocolo e produz uma classificação baseada na soma total, já com as mitigações do Bloco 7 incorporadas. A regra crítica entra depois, como cláusula de prevalência ética: verifica se alguma dimensão do protocolo apresenta falha estrutural que a soma total não deve ocultar. Quando a regra crítica se aplica, ela não anula a pontuação — ela prevalece sobre ela. O resultado é que um protocolo com soma favorável mas com falha estrutural numa dimensão crítica não deve ser interpretado como de baixo risco. A pontuação mapeia o risco distribuído. A regra crítica protege contra a ilusão de que a média pode ocultar o inaceitável. As duas operam na mesma direção: garantir que o CEP avalie evidências, não intenções.</w:t>
      </w:r>
    </w:p>
    <w:p w14:paraId="284AB21C" w14:textId="0B1E53EF" w:rsidR="003401A0" w:rsidRPr="003401A0" w:rsidRDefault="002B5065"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Referências</w:t>
      </w:r>
    </w:p>
    <w:p w14:paraId="549FA7B3"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AUSTRALIA. National Health and Medical Research Council (NHMRC). </w:t>
      </w:r>
      <w:r>
        <w:rPr>
          <w:rFonts w:ascii="Times New Roman" w:eastAsia="Times New Roman" w:hAnsi="Times New Roman" w:cs="Times New Roman"/>
          <w:i/>
          <w:iCs/>
          <w:kern w:val="0"/>
          <w14:ligatures w14:val="none"/>
        </w:rPr>
        <w:t>Guide for assessing research involving AI</w:t>
      </w:r>
      <w:r>
        <w:rPr>
          <w:rFonts w:ascii="Times New Roman" w:eastAsia="Times New Roman" w:hAnsi="Times New Roman" w:cs="Times New Roman"/>
          <w:kern w:val="0"/>
          <w14:ligatures w14:val="none"/>
        </w:rPr>
        <w:t>. Canberra: NHMRC, 2023. Disponível em: https://www.nhmrc.gov.au/about-us/resources/guide-assessing-research-involving-ai. Acesso em: 10 mar. 2026.</w:t>
      </w:r>
    </w:p>
    <w:p w14:paraId="0BF15B77"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BRASIL. Conselho Nacional de Desenvolvimento Científico e Tecnológico (CNPq). </w:t>
      </w:r>
      <w:r>
        <w:rPr>
          <w:rFonts w:ascii="Times New Roman" w:eastAsia="Times New Roman" w:hAnsi="Times New Roman" w:cs="Times New Roman"/>
          <w:i/>
          <w:iCs/>
          <w:kern w:val="0"/>
          <w14:ligatures w14:val="none"/>
        </w:rPr>
        <w:t>Política de Integridade na Atividade Científica</w:t>
      </w:r>
      <w:r>
        <w:rPr>
          <w:rFonts w:ascii="Times New Roman" w:eastAsia="Times New Roman" w:hAnsi="Times New Roman" w:cs="Times New Roman"/>
          <w:kern w:val="0"/>
          <w14:ligatures w14:val="none"/>
        </w:rPr>
        <w:t>. Brasília, DF: CNPq, 11 mar. 2026. Disponível em: https://www.gov.br/cnpq/pt-br/assuntos/noticias/cnpq-em-acao/cnpq-publica-portaria-que-institui-politica-de-integridade-na-atividade-cientifica. Acesso em: 13 mar. 2026.</w:t>
      </w:r>
    </w:p>
    <w:p w14:paraId="454EAB1D"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BRASIL. </w:t>
      </w:r>
      <w:r>
        <w:rPr>
          <w:rFonts w:ascii="Times New Roman" w:eastAsia="Times New Roman" w:hAnsi="Times New Roman" w:cs="Times New Roman"/>
          <w:i/>
          <w:iCs/>
          <w:kern w:val="0"/>
          <w14:ligatures w14:val="none"/>
        </w:rPr>
        <w:t>Lei n.º 14.874, de 28 de maio de 2024</w:t>
      </w:r>
      <w:r>
        <w:rPr>
          <w:rFonts w:ascii="Times New Roman" w:eastAsia="Times New Roman" w:hAnsi="Times New Roman" w:cs="Times New Roman"/>
          <w:kern w:val="0"/>
          <w14:ligatures w14:val="none"/>
        </w:rPr>
        <w:t>. Dispõe sobre a pesquisa com seres humanos e institui o Sistema Nacional de Ética em Pesquisa com Seres Humanos. Brasília, DF: Diário Oficial da União, 29 maio 2024.</w:t>
      </w:r>
    </w:p>
    <w:p w14:paraId="76074AED"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BRASIL. </w:t>
      </w:r>
      <w:r>
        <w:rPr>
          <w:rFonts w:ascii="Times New Roman" w:eastAsia="Times New Roman" w:hAnsi="Times New Roman" w:cs="Times New Roman"/>
          <w:i/>
          <w:iCs/>
          <w:kern w:val="0"/>
          <w14:ligatures w14:val="none"/>
        </w:rPr>
        <w:t>Decreto n.º 12.651, de 2025</w:t>
      </w:r>
      <w:r>
        <w:rPr>
          <w:rFonts w:ascii="Times New Roman" w:eastAsia="Times New Roman" w:hAnsi="Times New Roman" w:cs="Times New Roman"/>
          <w:kern w:val="0"/>
          <w14:ligatures w14:val="none"/>
        </w:rPr>
        <w:t>. Regulamenta a Lei n.º 14.874, de 28 de maio de 2024. Brasília, DF: Diário Oficial da União, 2025.</w:t>
      </w:r>
    </w:p>
    <w:p w14:paraId="10D26CAC"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CANADA. Treasury Board of Canada Secretariat. </w:t>
      </w:r>
      <w:r>
        <w:rPr>
          <w:rFonts w:ascii="Times New Roman" w:eastAsia="Times New Roman" w:hAnsi="Times New Roman" w:cs="Times New Roman"/>
          <w:i/>
          <w:iCs/>
          <w:kern w:val="0"/>
          <w14:ligatures w14:val="none"/>
        </w:rPr>
        <w:t>Algorithmic impact assessment (AIA)</w:t>
      </w:r>
      <w:r>
        <w:rPr>
          <w:rFonts w:ascii="Times New Roman" w:eastAsia="Times New Roman" w:hAnsi="Times New Roman" w:cs="Times New Roman"/>
          <w:kern w:val="0"/>
          <w14:ligatures w14:val="none"/>
        </w:rPr>
        <w:t>. Ottawa: Government of Canada, 2025. Disponível em: https://www.canada.ca/en/government/system/digital-government/digital-government-innovations/responsible-use-ai/algorithmic-impact-assessment.html. Acesso em: 10 mar. 2026.</w:t>
      </w:r>
    </w:p>
    <w:p w14:paraId="739FBEA6"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CARNEGIE ENDOWMENT FOR INTERNATIONAL PEACE. </w:t>
      </w:r>
      <w:r>
        <w:rPr>
          <w:rFonts w:ascii="Times New Roman" w:eastAsia="Times New Roman" w:hAnsi="Times New Roman" w:cs="Times New Roman"/>
          <w:i/>
          <w:iCs/>
          <w:kern w:val="0"/>
          <w14:ligatures w14:val="none"/>
        </w:rPr>
        <w:t>Understanding India's new data protection law</w:t>
      </w:r>
      <w:r>
        <w:rPr>
          <w:rFonts w:ascii="Times New Roman" w:eastAsia="Times New Roman" w:hAnsi="Times New Roman" w:cs="Times New Roman"/>
          <w:kern w:val="0"/>
          <w14:ligatures w14:val="none"/>
        </w:rPr>
        <w:t>. Washington, DC: Carnegie Endowment, 2023. Disponível em: https://carnegieendowment.org/research/2023/10/understanding-indias-new-data-protection-law. Acesso em: 11 mar. 2026.</w:t>
      </w:r>
    </w:p>
    <w:p w14:paraId="5261E109"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COREIA DO SUL. Ministry of Food and Drug Safety (MFDS). </w:t>
      </w:r>
      <w:r>
        <w:rPr>
          <w:rFonts w:ascii="Times New Roman" w:eastAsia="Times New Roman" w:hAnsi="Times New Roman" w:cs="Times New Roman"/>
          <w:i/>
          <w:iCs/>
          <w:kern w:val="0"/>
          <w14:ligatures w14:val="none"/>
        </w:rPr>
        <w:t>Guidance on clinical trials design of artificial intelligence (AI)-based medical devices</w:t>
      </w:r>
      <w:r>
        <w:rPr>
          <w:rFonts w:ascii="Times New Roman" w:eastAsia="Times New Roman" w:hAnsi="Times New Roman" w:cs="Times New Roman"/>
          <w:kern w:val="0"/>
          <w14:ligatures w14:val="none"/>
        </w:rPr>
        <w:t>. Seoul: MFDS, 2023. Disponível em: https://www.elendilabs.com/en/articles/kor-guidance-on-clinical-trials-design-of-artificial-intelligence-based-medical-devices. Acesso em: 11 mar. 2026.</w:t>
      </w:r>
    </w:p>
    <w:p w14:paraId="1003047E"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INDIA. Central Drugs Standard Control Organization (CDSCO). </w:t>
      </w:r>
      <w:r>
        <w:rPr>
          <w:rFonts w:ascii="Times New Roman" w:eastAsia="Times New Roman" w:hAnsi="Times New Roman" w:cs="Times New Roman"/>
          <w:i/>
          <w:iCs/>
          <w:kern w:val="0"/>
          <w14:ligatures w14:val="none"/>
        </w:rPr>
        <w:t>Draft guidance on medical device software</w:t>
      </w:r>
      <w:r>
        <w:rPr>
          <w:rFonts w:ascii="Times New Roman" w:eastAsia="Times New Roman" w:hAnsi="Times New Roman" w:cs="Times New Roman"/>
          <w:kern w:val="0"/>
          <w14:ligatures w14:val="none"/>
        </w:rPr>
        <w:t>. New Delhi: CDSCO, out. 2025. Disponível em: https://community.nasscom.in/communities/public-policy/cdsco-issues-draft-guidance-medical-device-software. Acesso em: 11 mar. 2026.</w:t>
      </w:r>
    </w:p>
    <w:p w14:paraId="5ED010AA"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INDIA. Indian Council of Medical Research (ICMR). </w:t>
      </w:r>
      <w:r>
        <w:rPr>
          <w:rFonts w:ascii="Times New Roman" w:eastAsia="Times New Roman" w:hAnsi="Times New Roman" w:cs="Times New Roman"/>
          <w:i/>
          <w:iCs/>
          <w:kern w:val="0"/>
          <w14:ligatures w14:val="none"/>
        </w:rPr>
        <w:t>Ethical guidelines for application of artificial intelligence in biomedical research and healthcare</w:t>
      </w:r>
      <w:r>
        <w:rPr>
          <w:rFonts w:ascii="Times New Roman" w:eastAsia="Times New Roman" w:hAnsi="Times New Roman" w:cs="Times New Roman"/>
          <w:kern w:val="0"/>
          <w14:ligatures w14:val="none"/>
        </w:rPr>
        <w:t>. New Delhi: ICMR, 2023. Disponível em: https://www.icmr.gov.in/ethical-guidelines-for-application-of-artificial-intelligence-in-biomedical-research-and-healthcare. Acesso em: 11 mar. 2026.</w:t>
      </w:r>
    </w:p>
    <w:p w14:paraId="6F1C411E"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JAPÃO. Pharmaceuticals and Medical Devices Agency (PMDA). </w:t>
      </w:r>
      <w:r>
        <w:rPr>
          <w:rFonts w:ascii="Times New Roman" w:eastAsia="Times New Roman" w:hAnsi="Times New Roman" w:cs="Times New Roman"/>
          <w:i/>
          <w:iCs/>
          <w:kern w:val="0"/>
          <w14:ligatures w14:val="none"/>
        </w:rPr>
        <w:t>Report on AI-based software as a medical device (SaMD)</w:t>
      </w:r>
      <w:r>
        <w:rPr>
          <w:rFonts w:ascii="Times New Roman" w:eastAsia="Times New Roman" w:hAnsi="Times New Roman" w:cs="Times New Roman"/>
          <w:kern w:val="0"/>
          <w14:ligatures w14:val="none"/>
        </w:rPr>
        <w:t>. Tokyo: PMDA, [s.d.]. Disponível em: https://www.pmda.go.jp/files/000266100.pdf. Acesso em: 11 mar. 2026.</w:t>
      </w:r>
    </w:p>
    <w:p w14:paraId="29FB034D"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MULTI-REGIONAL CLINICAL TRIALS CENTER OF BRIGHAM AND WOMEN'S HOSPITAL AND HARVARD (MRCT Center); WCG. </w:t>
      </w:r>
      <w:r>
        <w:rPr>
          <w:rFonts w:ascii="Times New Roman" w:eastAsia="Times New Roman" w:hAnsi="Times New Roman" w:cs="Times New Roman"/>
          <w:i/>
          <w:iCs/>
          <w:kern w:val="0"/>
          <w14:ligatures w14:val="none"/>
        </w:rPr>
        <w:t>Artificial intelligence toolkit for clinical research 2025</w:t>
      </w:r>
      <w:r>
        <w:rPr>
          <w:rFonts w:ascii="Times New Roman" w:eastAsia="Times New Roman" w:hAnsi="Times New Roman" w:cs="Times New Roman"/>
          <w:kern w:val="0"/>
          <w14:ligatures w14:val="none"/>
        </w:rPr>
        <w:t>. Boston: MRCT Center; WCG, 2025.</w:t>
      </w:r>
    </w:p>
    <w:p w14:paraId="1DBA6DED"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UNITED STATES. Food and Drug Administration (FDA). </w:t>
      </w:r>
      <w:r>
        <w:rPr>
          <w:rFonts w:ascii="Times New Roman" w:eastAsia="Times New Roman" w:hAnsi="Times New Roman" w:cs="Times New Roman"/>
          <w:i/>
          <w:iCs/>
          <w:kern w:val="0"/>
          <w14:ligatures w14:val="none"/>
        </w:rPr>
        <w:t>Considerations for the use of artificial intelligence to support regulatory decision-making for drug and biological products: guidance for industry and other interested parties</w:t>
      </w:r>
      <w:r>
        <w:rPr>
          <w:rFonts w:ascii="Times New Roman" w:eastAsia="Times New Roman" w:hAnsi="Times New Roman" w:cs="Times New Roman"/>
          <w:kern w:val="0"/>
          <w14:ligatures w14:val="none"/>
        </w:rPr>
        <w:t>. Silver Spring: FDA, jan. 2025. Disponível em: https://www.fda.gov/regulatory-information/search-fda-guidance-documents. Acesso em: 10 mar. 2026.</w:t>
      </w:r>
    </w:p>
    <w:p w14:paraId="1417E57B" w14:textId="77777777" w:rsidR="003401A0" w:rsidRPr="003401A0" w:rsidRDefault="003401A0" w:rsidP="003401A0">
      <w:pPr>
        <w:spacing w:before="100" w:beforeAutospacing="1" w:after="100" w:afterAutospacing="1" w:line="360" w:lineRule="auto"/>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WORLD HEALTH ORGANIZATION (WHO). </w:t>
      </w:r>
      <w:r>
        <w:rPr>
          <w:rFonts w:ascii="Times New Roman" w:eastAsia="Times New Roman" w:hAnsi="Times New Roman" w:cs="Times New Roman"/>
          <w:i/>
          <w:iCs/>
          <w:kern w:val="0"/>
          <w14:ligatures w14:val="none"/>
        </w:rPr>
        <w:t>Ethics and governance of artificial intelligence for health: guidance on large multi-modal models</w:t>
      </w:r>
      <w:r>
        <w:rPr>
          <w:rFonts w:ascii="Times New Roman" w:eastAsia="Times New Roman" w:hAnsi="Times New Roman" w:cs="Times New Roman"/>
          <w:kern w:val="0"/>
          <w14:ligatures w14:val="none"/>
        </w:rPr>
        <w:t>. Geneva: WHO, 2024. Disponível em: https://www.who.int/publications/i/item/9789240093461. Acesso em: 10 mar. 2026.</w:t>
      </w:r>
    </w:p>
    <w:p w14:paraId="30D2D2CC" w14:textId="77777777" w:rsidR="00B77CC5" w:rsidRDefault="00B77CC5" w:rsidP="002B5065">
      <w:pPr>
        <w:spacing w:before="100" w:beforeAutospacing="1" w:after="100" w:afterAutospacing="1" w:line="240" w:lineRule="auto"/>
        <w:rPr>
          <w:rFonts w:ascii="Times New Roman" w:eastAsia="Times New Roman" w:hAnsi="Times New Roman" w:cs="Times New Roman"/>
          <w:kern w:val="0"/>
          <w14:ligatures w14:val="none"/>
        </w:rPr>
      </w:pPr>
    </w:p>
    <w:p w14:paraId="2BFD41BB" w14:textId="77777777" w:rsidR="003328F8" w:rsidRDefault="003328F8"/>
    <w:sectPr w:rsidR="003328F8">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E895C" w14:textId="77777777" w:rsidR="00F562F9" w:rsidRDefault="00F562F9" w:rsidP="00DA55EE">
      <w:pPr>
        <w:spacing w:after="0" w:line="240" w:lineRule="auto"/>
      </w:pPr>
      <w:r>
        <w:separator/>
      </w:r>
    </w:p>
  </w:endnote>
  <w:endnote w:type="continuationSeparator" w:id="0">
    <w:p w14:paraId="19D111DA" w14:textId="77777777" w:rsidR="00F562F9" w:rsidRDefault="00F562F9" w:rsidP="00DA5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34B7" w14:textId="77777777" w:rsidR="00F562F9" w:rsidRDefault="00F562F9" w:rsidP="00DA55EE">
      <w:pPr>
        <w:spacing w:after="0" w:line="240" w:lineRule="auto"/>
      </w:pPr>
      <w:r>
        <w:separator/>
      </w:r>
    </w:p>
  </w:footnote>
  <w:footnote w:type="continuationSeparator" w:id="0">
    <w:p w14:paraId="42ED2CC7" w14:textId="77777777" w:rsidR="00F562F9" w:rsidRDefault="00F562F9" w:rsidP="00DA5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3503037"/>
      <w:docPartObj>
        <w:docPartGallery w:val="Page Numbers (Top of Page)"/>
        <w:docPartUnique/>
      </w:docPartObj>
    </w:sdtPr>
    <w:sdtContent>
      <w:p w14:paraId="34B5D20F" w14:textId="761C4D55" w:rsidR="00DA55EE" w:rsidRDefault="00DA55EE" w:rsidP="00F052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1250E3" w14:textId="77777777" w:rsidR="00DA55EE" w:rsidRDefault="00DA55EE" w:rsidP="00DA55E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075522"/>
      <w:docPartObj>
        <w:docPartGallery w:val="Page Numbers (Top of Page)"/>
        <w:docPartUnique/>
      </w:docPartObj>
    </w:sdtPr>
    <w:sdtContent>
      <w:p w14:paraId="139E8A71" w14:textId="313577DD" w:rsidR="00DA55EE" w:rsidRDefault="00DA55EE" w:rsidP="00F052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494310" w14:textId="77777777" w:rsidR="00DA55EE" w:rsidRDefault="00DA55EE" w:rsidP="00DA55E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38"/>
    <w:rsid w:val="000009C7"/>
    <w:rsid w:val="000368FE"/>
    <w:rsid w:val="00050922"/>
    <w:rsid w:val="00103AE2"/>
    <w:rsid w:val="0010562F"/>
    <w:rsid w:val="001200C1"/>
    <w:rsid w:val="00144DBA"/>
    <w:rsid w:val="001901D9"/>
    <w:rsid w:val="001C0651"/>
    <w:rsid w:val="001C3734"/>
    <w:rsid w:val="001C3CC3"/>
    <w:rsid w:val="00226F36"/>
    <w:rsid w:val="00287892"/>
    <w:rsid w:val="00297E77"/>
    <w:rsid w:val="002A18B5"/>
    <w:rsid w:val="002B5065"/>
    <w:rsid w:val="00301433"/>
    <w:rsid w:val="00315DAC"/>
    <w:rsid w:val="003328F8"/>
    <w:rsid w:val="003401A0"/>
    <w:rsid w:val="003777A7"/>
    <w:rsid w:val="003929A9"/>
    <w:rsid w:val="003A7C9F"/>
    <w:rsid w:val="003F5C76"/>
    <w:rsid w:val="00406E09"/>
    <w:rsid w:val="004321D1"/>
    <w:rsid w:val="004645B2"/>
    <w:rsid w:val="0047431B"/>
    <w:rsid w:val="005009FD"/>
    <w:rsid w:val="005C7470"/>
    <w:rsid w:val="0065464E"/>
    <w:rsid w:val="006C08BE"/>
    <w:rsid w:val="006E21BC"/>
    <w:rsid w:val="007476DD"/>
    <w:rsid w:val="00823501"/>
    <w:rsid w:val="00830C60"/>
    <w:rsid w:val="00854055"/>
    <w:rsid w:val="00866E9E"/>
    <w:rsid w:val="008766EA"/>
    <w:rsid w:val="008C36E9"/>
    <w:rsid w:val="009525F5"/>
    <w:rsid w:val="00A01182"/>
    <w:rsid w:val="00A0413F"/>
    <w:rsid w:val="00A066FD"/>
    <w:rsid w:val="00A23B53"/>
    <w:rsid w:val="00A404A2"/>
    <w:rsid w:val="00B4718D"/>
    <w:rsid w:val="00B7529B"/>
    <w:rsid w:val="00B77CC5"/>
    <w:rsid w:val="00B81D7C"/>
    <w:rsid w:val="00BA29A4"/>
    <w:rsid w:val="00BF4E98"/>
    <w:rsid w:val="00BF50FA"/>
    <w:rsid w:val="00BF7195"/>
    <w:rsid w:val="00C15595"/>
    <w:rsid w:val="00C618FB"/>
    <w:rsid w:val="00CA7988"/>
    <w:rsid w:val="00D05ECD"/>
    <w:rsid w:val="00DA55EE"/>
    <w:rsid w:val="00DF768B"/>
    <w:rsid w:val="00E5482F"/>
    <w:rsid w:val="00EC7536"/>
    <w:rsid w:val="00F14735"/>
    <w:rsid w:val="00F21E99"/>
    <w:rsid w:val="00F562F9"/>
    <w:rsid w:val="00F706BF"/>
    <w:rsid w:val="00F7231B"/>
    <w:rsid w:val="00FA3C2D"/>
    <w:rsid w:val="00FC0B2D"/>
    <w:rsid w:val="00FD7034"/>
    <w:rsid w:val="00FE0138"/>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C755A"/>
  <w15:chartTrackingRefBased/>
  <w15:docId w15:val="{493E20D5-6B76-6241-89DE-2345E2A4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0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0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138"/>
    <w:rPr>
      <w:rFonts w:eastAsiaTheme="majorEastAsia" w:cstheme="majorBidi"/>
      <w:color w:val="272727" w:themeColor="text1" w:themeTint="D8"/>
    </w:rPr>
  </w:style>
  <w:style w:type="paragraph" w:styleId="Title">
    <w:name w:val="Title"/>
    <w:basedOn w:val="Normal"/>
    <w:next w:val="Normal"/>
    <w:link w:val="TitleChar"/>
    <w:uiPriority w:val="10"/>
    <w:qFormat/>
    <w:rsid w:val="00FE0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138"/>
    <w:pPr>
      <w:spacing w:before="160"/>
      <w:jc w:val="center"/>
    </w:pPr>
    <w:rPr>
      <w:i/>
      <w:iCs/>
      <w:color w:val="404040" w:themeColor="text1" w:themeTint="BF"/>
    </w:rPr>
  </w:style>
  <w:style w:type="character" w:customStyle="1" w:styleId="QuoteChar">
    <w:name w:val="Quote Char"/>
    <w:basedOn w:val="DefaultParagraphFont"/>
    <w:link w:val="Quote"/>
    <w:uiPriority w:val="29"/>
    <w:rsid w:val="00FE0138"/>
    <w:rPr>
      <w:i/>
      <w:iCs/>
      <w:color w:val="404040" w:themeColor="text1" w:themeTint="BF"/>
    </w:rPr>
  </w:style>
  <w:style w:type="paragraph" w:styleId="ListParagraph">
    <w:name w:val="List Paragraph"/>
    <w:basedOn w:val="Normal"/>
    <w:uiPriority w:val="34"/>
    <w:qFormat/>
    <w:rsid w:val="00FE0138"/>
    <w:pPr>
      <w:ind w:left="720"/>
      <w:contextualSpacing/>
    </w:pPr>
  </w:style>
  <w:style w:type="character" w:styleId="IntenseEmphasis">
    <w:name w:val="Intense Emphasis"/>
    <w:basedOn w:val="DefaultParagraphFont"/>
    <w:uiPriority w:val="21"/>
    <w:qFormat/>
    <w:rsid w:val="00FE0138"/>
    <w:rPr>
      <w:i/>
      <w:iCs/>
      <w:color w:val="0F4761" w:themeColor="accent1" w:themeShade="BF"/>
    </w:rPr>
  </w:style>
  <w:style w:type="paragraph" w:styleId="IntenseQuote">
    <w:name w:val="Intense Quote"/>
    <w:basedOn w:val="Normal"/>
    <w:next w:val="Normal"/>
    <w:link w:val="IntenseQuoteChar"/>
    <w:uiPriority w:val="30"/>
    <w:qFormat/>
    <w:rsid w:val="00FE0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138"/>
    <w:rPr>
      <w:i/>
      <w:iCs/>
      <w:color w:val="0F4761" w:themeColor="accent1" w:themeShade="BF"/>
    </w:rPr>
  </w:style>
  <w:style w:type="character" w:styleId="IntenseReference">
    <w:name w:val="Intense Reference"/>
    <w:basedOn w:val="DefaultParagraphFont"/>
    <w:uiPriority w:val="32"/>
    <w:qFormat/>
    <w:rsid w:val="00FE0138"/>
    <w:rPr>
      <w:b/>
      <w:bCs/>
      <w:smallCaps/>
      <w:color w:val="0F4761" w:themeColor="accent1" w:themeShade="BF"/>
      <w:spacing w:val="5"/>
    </w:rPr>
  </w:style>
  <w:style w:type="character" w:styleId="Emphasis">
    <w:name w:val="Emphasis"/>
    <w:basedOn w:val="DefaultParagraphFont"/>
    <w:uiPriority w:val="20"/>
    <w:qFormat/>
    <w:rsid w:val="00FE0138"/>
    <w:rPr>
      <w:i/>
      <w:iCs/>
    </w:rPr>
  </w:style>
  <w:style w:type="paragraph" w:customStyle="1" w:styleId="font-claude-response-body">
    <w:name w:val="font-claude-response-body"/>
    <w:basedOn w:val="Normal"/>
    <w:rsid w:val="00FE01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0138"/>
    <w:rPr>
      <w:b/>
      <w:bCs/>
    </w:rPr>
  </w:style>
  <w:style w:type="paragraph" w:styleId="NormalWeb">
    <w:name w:val="Normal (Web)"/>
    <w:basedOn w:val="Normal"/>
    <w:uiPriority w:val="99"/>
    <w:unhideWhenUsed/>
    <w:rsid w:val="002B506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A5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5EE"/>
  </w:style>
  <w:style w:type="character" w:styleId="PageNumber">
    <w:name w:val="page number"/>
    <w:basedOn w:val="DefaultParagraphFont"/>
    <w:uiPriority w:val="99"/>
    <w:semiHidden/>
    <w:unhideWhenUsed/>
    <w:rsid w:val="00DA5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21</Pages>
  <Words>7533</Words>
  <Characters>42412</Characters>
  <Application>Microsoft Office Word</Application>
  <DocSecurity>0</DocSecurity>
  <Lines>623</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Fabiano Tonaco Borges</dc:creator>
  <cp:keywords/>
  <dc:description/>
  <cp:lastModifiedBy>Fabiano Tonaco Borges</cp:lastModifiedBy>
  <cp:revision>35</cp:revision>
  <dcterms:created xsi:type="dcterms:W3CDTF">2026-03-13T12:12:00Z</dcterms:created>
  <dcterms:modified xsi:type="dcterms:W3CDTF">2026-04-07T11:54:00Z</dcterms:modified>
</cp:coreProperties>
</file>