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  <w:jc w:val="center"/>
      </w:pPr>
      <w:r>
        <w:rPr>
          <w:rFonts w:ascii="Arial" w:cs="Arial" w:eastAsia="Arial" w:hAnsi="Arial"/>
          <w:b/>
          <w:bCs/>
          <w:color w:val="0F766E"/>
          <w:sz w:val="48"/>
          <w:szCs w:val="48"/>
        </w:rPr>
        <w:t xml:space="preserve">MARIAH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Instruções de Preenchimento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766E"/>
          <w:sz w:val="28"/>
          <w:szCs w:val="28"/>
        </w:rPr>
        <w:t xml:space="preserve">Versão B — Quantitativa</w:t>
      </w:r>
    </w:p>
    <w:p>
      <w:pPr>
        <w:spacing w:after="40"/>
        <w:jc w:val="center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Pontuação ponderada em sete blocos de avaliação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55B66"/>
          <w:sz w:val="18"/>
          <w:szCs w:val="18"/>
        </w:rPr>
        <w:t xml:space="preserve">Matriz de Avaliação de Risco de Inteligência Artificial em Pesquisa com Seres Humanos</w:t>
      </w:r>
    </w:p>
    <w:p>
      <w:pPr>
        <w:pBdr>
          <w:bottom w:val="single" w:color="0F766E" w:sz="10" w:space="6"/>
        </w:pBdr>
        <w:spacing w:after="240"/>
        <w:jc w:val="center"/>
      </w:pPr>
      <w:r>
        <w:rPr>
          <w:rFonts w:ascii="Arial" w:cs="Arial" w:eastAsia="Arial" w:hAnsi="Arial"/>
          <w:color w:val="555B66"/>
          <w:sz w:val="16"/>
          <w:szCs w:val="16"/>
        </w:rPr>
        <w:t xml:space="preserve">Versão preliminar — em revisão pelo GT do Ministério da Saúde · Junho de 2026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1. Como funciona a Versão B</w:t>
      </w:r>
    </w:p>
    <w:p>
      <w:pPr>
        <w:spacing w:after="120" w:before="0" w:line="252"/>
      </w:pPr>
      <w:r>
        <w:rPr>
          <w:rFonts w:ascii="Arial" w:cs="Arial" w:eastAsia="Arial" w:hAnsi="Arial"/>
        </w:rPr>
        <w:t xml:space="preserve">A Versão B é quantitativa: cada resposta de risco soma pontos, distribuídos em sete blocos. A pontuação total é a soma dos blocos (modelo aditivo), e os pontos de corte definem o nível final do protocolo. Cada questão tem um peso fixo, indicado na coluna “Item”.</w:t>
      </w:r>
    </w:p>
    <w:p>
      <w:pPr>
        <w:spacing w:after="120" w:before="0" w:line="252"/>
      </w:pPr>
      <w:r>
        <w:rPr>
          <w:rFonts w:ascii="Arial" w:cs="Arial" w:eastAsia="Arial" w:hAnsi="Arial"/>
        </w:rPr>
        <w:t xml:space="preserve">Quatro mecanismos alteram a aritmética simples: a Cláusula de Prevalência Ética (Bloco 4), que força o Nível IV; a questão eliminatória (P6.b.2), que torna o protocolo “não avaliável pela MARIAH”; a bidirecionalidade do Bloco 7 (Mitigação); e o Bloco 6.b condicional (Res. 738), que soma ao Bloco 6 quando há banco de dados.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Passo 0 — Filtro de banco de dados (Res. CNS n.º 738/2024)</w:t>
      </w:r>
    </w:p>
    <w:p>
      <w:pPr>
        <w:spacing w:after="120" w:before="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 protocolo utiliza banco de dados — próprio, de outra pesquisa ou de instituição externa?</w:t>
      </w:r>
    </w:p>
    <w:p>
      <w:pPr>
        <w:spacing w:after="120" w:before="0" w:line="252"/>
      </w:pPr>
      <w:r>
        <w:rPr>
          <w:rFonts w:ascii="Arial" w:cs="Arial" w:eastAsia="Arial" w:hAnsi="Arial"/>
          <w:sz w:val="19"/>
          <w:szCs w:val="19"/>
        </w:rPr>
        <w:t xml:space="preserve"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92400E"/>
          <w:sz w:val="19"/>
          <w:szCs w:val="19"/>
        </w:rPr>
        <w:t xml:space="preserve">Se a resposta ao Passo 0 for “Sim”, aplica-se também o Bloco 6.b (Res. CNS n.º 738/2024), cuja pontuação soma ao Bloco 6 e desloca os pontos de corte (cenário “com banco”).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Cláusula de Prevalência Ética (Bloco 4)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92400E"/>
          <w:sz w:val="19"/>
          <w:szCs w:val="19"/>
        </w:rPr>
        <w:t xml:space="preserve">Se P4.1 ou P4.2 for respondida “Sim”, o protocolo é forçado ao Nível IV (crítico), sobrescrevendo a soma total — qualquer que seja a pontuação dos demais blocos.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7 — Mitigação (bidirecional)</w:t>
      </w:r>
    </w:p>
    <w:p>
      <w:pPr>
        <w:spacing w:after="120" w:before="0" w:line="252"/>
      </w:pPr>
      <w:r>
        <w:rPr>
          <w:rFonts w:ascii="Arial" w:cs="Arial" w:eastAsia="Arial" w:hAnsi="Arial"/>
          <w:sz w:val="19"/>
          <w:szCs w:val="19"/>
        </w:rPr>
        <w:t xml:space="preserve">Duas questões de consulta (P7.1, P7.2) somam pontos quando a resposta é “Não” (sem a consulta). Oito questões de mitigação (P7.3 a P7.10) subtraem pontos quando respondidas “Sim” (mitigação presente). O bloco tem piso de zero: não fica negativo.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Pontos de corte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430"/>
        <w:gridCol w:w="1432"/>
        <w:gridCol w:w="1432"/>
        <w:gridCol w:w="1432"/>
      </w:tblGrid>
      <w:tr>
        <w:trPr>
          <w:tblHeader/>
        </w:trPr>
        <w:tc>
          <w:tcPr>
            <w:tcW w:type="dxa" w:w="24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Máx.</w:t>
            </w:r>
          </w:p>
        </w:tc>
        <w:tc>
          <w:tcPr>
            <w:tcW w:type="dxa" w:w="143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 I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 II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 III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 IV</w:t>
            </w:r>
          </w:p>
        </w:tc>
      </w:tr>
      <w:tr>
        <w:tc>
          <w:tcPr>
            <w:tcW w:type="dxa" w:w="24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Sem banco de dados</w:t>
            </w:r>
          </w:p>
        </w:tc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238</w:t>
            </w:r>
          </w:p>
        </w:tc>
        <w:tc>
          <w:tcPr>
            <w:tcW w:type="dxa" w:w="143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0 a 50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51 a 110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111 a 180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≥ 181</w:t>
            </w:r>
          </w:p>
        </w:tc>
      </w:tr>
      <w:tr>
        <w:tc>
          <w:tcPr>
            <w:tcW w:type="dxa" w:w="24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Com banco (Bloco 6.b)</w:t>
            </w:r>
          </w:p>
        </w:tc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267</w:t>
            </w:r>
          </w:p>
        </w:tc>
        <w:tc>
          <w:tcPr>
            <w:tcW w:type="dxa" w:w="143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0 a 56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57 a 123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124 a 202</w:t>
            </w:r>
          </w:p>
        </w:tc>
        <w:tc>
          <w:tcPr>
            <w:tcW w:type="dxa" w:w="1432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≥ 203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  <w:i/>
          <w:iCs/>
          <w:color w:val="555B66"/>
          <w:sz w:val="17"/>
          <w:szCs w:val="17"/>
        </w:rPr>
        <w:t xml:space="preserve">As faixas “com banco” derivam de escalonamento proporcional do cenário base (fator 267/238). A calibração definitiva é prospectiva.</w:t>
      </w:r>
    </w:p>
    <w:p>
      <w:pPr>
        <w:pStyle w:val="Heading1"/>
        <w:pageBreakBefore/>
        <w:spacing w:after="14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2. Questões por bloco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1: Projeto  (máx. 22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a qualidade da documentação do protocolo e a preparação da equipe para o uso do sistema de 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com precisão o sistema de IA utilizado — nome, versão, fabricante ou desenvolvedor, e finalidade?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descrição precisa do sistema (nome, versão, fabricante/desenvolvedor, finalidade) é a base para a avaliação ética e para a responsabilização; sem ela, não há o que auditar.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justifica a escolha do sistema de IA em relação a alternativas metodológicas disponíveis?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Justificar a escolha do sistema frente a alternativas metodológicas demonstra que o uso de IA é necessário e proporcional, não arbitrário.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 equipe responsável inclui ao menos um membro com competência técnica para interpretar os resultados do sistema e identificar falhas?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ao menos um membro com competência técnica para interpretar resultados e identificar falhas, a supervisão da equipe é insuficiente.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o estágio de desenvolvimento do sistema — Descoberta (Discovery), Translação (Translation) ou Implantação (Deployment)?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Informar o estágio de desenvolvimento (Descoberta, Translação ou Implantação) é o que permite calibrar a incerteza esperada sobre o desempenho do sistema.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apresenta o contexto de uso definido — papel do sistema, escopo da decisão e fontes de evidência complementares?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Delimitar papel do sistema, escopo da decisão e fontes de evidência complementares é o que define o alcance e os riscos do uso; sem isso, o uso fica indefinido.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TCLE menciona de forma compreensível que um sistema de IA será utilizado e qual é o seu papel no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Mencionar no TCLE, de forma compreensível, que um sistema de IA será usado e qual o seu papel é requisito ético de transparência e autonomia.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P1.7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4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foi submetido a consulta ou parecer técnico externo sobre o uso do sistema de 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Um parecer técnico externo adiciona uma camada de verificação independente sobre o uso do sistema, reduzindo pontos cegos da equipe proponente.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2: Sistema  (máx. 17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as características técnicas do sistema de IA, incluindo autonomia, adaptabilidade e transparência.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Consulta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toma decisões ou emite recomendações sem intervenção humana obrigatória antes da execução?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Sistemas que decidem ou recomendam sem intervenção humana obrigatória antes da execução elevam o risco, pois removem a barreira de segurança entre recomendação e ação.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Consulta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é adaptativo: aprende ou se atualiza com novos dados após o início do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Sistemas adaptativos podem mudar de comportamento ao aprender com novos dados durante o estudo, introduzindo incerteza sobre os resultados gerados.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Consulta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opera como caixa-preta: sem possibilidade de explicar os fatores que determinaram cada resultado?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Sistemas caixa-preta, sem explicação dos fatores de cada resultado, impedem supervisão eficaz e a identificação de vieses.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foi submetido a testes de desempenho documentados antes do uso no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testes de desempenho documentados antes do uso, não há evidência de segurança e eficácia no contexto proposto.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é explicável: fornece, junto a cada resultado, uma explicação compreensível sobre os fatores que o influenciaram?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explicação compreensível junto a cada resultado é o que viabiliza uma supervisão humana eficaz; sua ausência caracteriza o risco.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define claramente o que acontece quando a decisão do sistema diverge do julgamento humano?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regra para quando a decisão do sistema diverge do julgamento humano, cria-se zona cinzenta de responsabilidade.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P2.7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a arquitetura do sistema — tipo de modelo, dados de entrada e saída, método de treinamento?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descrição da arquitetura (tipo de modelo, dados de entrada e saída, método de treinamento) é a base da avaliação técnica; sem ela, o sistema não é auditável.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3: Algoritmo  (máx. 14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a origem e a representatividade dos dados de treinamento, bem como a validação do modelo.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modelo foi desenvolvido fora do Brasil para uso em população brasileira sem validação local documentada?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Modelos desenvolvidos fora do Brasil e usados em população brasileira sem validação local podem não ser adequados à realidade nacional.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treinamento do modelo foram coletados predominantemente em populações de alta renda ou do hemisfério norte?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Dados de treinamento de populações de alta renda ou do hemisfério norte podem não representar o perfil socioeconômico e epidemiológico brasileiro.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treinamento incluem representação adequada da diversidade da população-alvo deste protocolo: raça/cor, etnia, orientação sexual, gênero, faixa etária, região geográfica?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representação adequada da diversidade da população-alvo (raça/cor, etnia, orientação sexual, gênero, idade, região), o modelo pode gerar resultados enviesados e discriminatórios.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teste do modelo são independentes dos dados de treinamento?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Dados de teste não independentes dos de treinamento tendem a superestimar o desempenho do modelo.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os dados usados no treinamento: origem, período de coleta, critérios de inclusão e exclusão?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descrição de origem, período e critérios de inclusão/exclusão dos dados de treinamento é essencial para avaliar a qualidade do modelo.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apresenta avaliação de desempenho do modelo por subgrupos populacionais relevantes?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avaliação por subgrupos populacionais relevantes, disparidades de desempenho que afetam grupos específicos não são identificadas.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P3.7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desempenho do modelo foi validado em contexto assistencial comparável ao SUS ou ao sistema de saúde em que será utilizado?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validação em contexto assistencial comparável (ex.: SUS) é o que assegura a adequação do modelo ao cenário real de uso.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4: Decisão  (máx. 8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se o sistema é o único determinante de decisões e a irreversibilidade dos danos potenciais. Este é um bloco CRÍTICO.</w:t>
      </w:r>
    </w:p>
    <w:p>
      <w:pPr>
        <w:spacing w:after="40" w:before="0" w:line="252"/>
      </w:pPr>
      <w:r>
        <w:rPr>
          <w:rFonts w:ascii="Arial" w:cs="Arial" w:eastAsia="Arial" w:hAnsi="Arial"/>
          <w:b/>
          <w:bCs/>
          <w:color w:val="92400E"/>
          <w:sz w:val="18"/>
          <w:szCs w:val="18"/>
        </w:rPr>
        <w:t xml:space="preserve">BLOCO CRÍTICO — Cláusula de Prevalência Ética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P4.1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é o único determinante de uma decisão que afeta diretamente o participante — sem revisão humana obrigatória?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Verifica se o sistema é o único determinante de uma decisão que afeta o participante, sem revisão humana obrigatória — o que remove a barreira de segurança humana. Salvaguarda Decisória (Cláusula de Prevalência Ética): responder "Sim" força o protocolo ao Nível IV, sobrescrevendo a soma, qualquer que seja a pontuação dos demais blocos.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P4.2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3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Em caso de erro do sistema, o dano ao participante seria irreversível ou de difícil reparação?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Avalia se um erro do sistema poderia causar dano irreversível ou de difícil reparação ao participante — o patamar mais alto de risco. Salvaguarda Decisória (Cláusula de Prevalência Ética): responder "Sim" força o protocolo ao Nível IV, sobrescrevendo a soma.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P4.3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2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profissional responsável tem acesso às informações necessárias para contestar a recomendação do sistema antes de sua execução?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acesso às informações necessárias para contestar a recomendação antes da execução, a supervisão humana é apenas simbólica — não consegue barrar um erro.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5: Impacto  (máx. 52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o impacto potencial do sistema sobre o participante, incluindo danos físicos, psíquicos e sociais, e a proteção de populações vulneráveis.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influencia diretamente decisões clínicas ou terapêuticas sobre o participante?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Quando o sistema influencia diretamente decisões clínicas ou terapêuticas, um erro se converte em conduta inadequada sobre o participante — maior potencial de dano.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pode causar dano físico ao participante em caso de erro?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possibilidade de dano físico em caso de erro é a forma mais grave de impacto e exige mecanismos robustos de segurança.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pode causar dano psíquico, social ou econômico ao participante em caso de erro?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Danos não físicos — psíquicos, sociais ou econômicos — também são relevantes, sobretudo quando afetam a vida social ou a renda do participante.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envolve populações vulneráveis — crianças, gestantes, idosos, povos indígenas ou pessoas em situação de vulnerabilidade socioeconômica?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Populações vulneráveis (crianças, gestantes, idosos, povos indígenas, vulnerabilidade socioeconômica) exigem proteção adicional, pela menor capacidade de contestar decisões ou compreender riscos.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infere características sensíveis do participante — raça/cor, etnia, condição de saúde, orientação sexual — que não foram explicitamente coletadas?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Inferir características sensíveis não explicitamente coletadas (raça/cor, etnia, saúde, orientação sexual) contraria a autonomia informativa e pode gerar discriminação.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efeitos de um erro do sistema sobre o participante são reversíveis?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pergunta verifica a reversibilidade: efeitos NÃO reversíveis de um erro aumentam significativamente o risco, por não admitirem reparação integral.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como os resultados gerados pela IA serão comunicados ao participante, quando aplicável?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ausência de descrição sobre como os resultados serão comunicados ao participante compromete a transparência.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mecanismo para que o participante solicite a exclusão de seus dados do processo de treinamento ou retreinamento do modelo?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mecanismo para o participante excluir seus dados do treinamento/retreinamento, ele perde o controle sobre os próprios dados após o consentimento.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P5.9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define responsabilidade humana clara em caso de erro ou dano decorrente do uso do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responsabilidade humana clara em caso de erro ou dano, instala-se uma zona de impunidade que fragiliza a proteção do participante.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6: Dados  (máx. 50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a sensibilidade dos dados, a conformidade com a LGPD e os mecanismos de proteção e governança.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processa dados pessoais sensíveis: saúde, genética, biometria, raça/cor, etnia, religião, vida sexual?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 processamento de dados sensíveis (saúde, genética, biometria, raça/cor, etnia, religião, vida sexual) exige proteção reforçada e base legal específica na LGPD.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são transferidos ou processados em servidores fora do Brasil?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Transferir ou processar dados fora do Brasil exige avaliar a adequação do destino e adotar salvaguardas adicionais, reduzindo a governança nacional sobre os dados.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Existe risco real de reidentificação dos participantes a partir dos dados utilizados ou gerados pelo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Risco real de reidentificação compromete a promessa de anonimato e amplia os danos potenciais à privacidade e à segurança.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consentimento obtido cobre explicitamente o uso dos dados para treinamento ou retreinamento de modelos de 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Consentimento genérico não basta para treinar/retreinar modelos; é preciso consentimento específico e informado para esse uso.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demonstra conformidade com a LGPD — base legal identificada, finalidade declarada, Encarregado de Dados (DPO) indicado?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base legal, finalidade declarada e Encarregado (DPO) indicado, o protocolo não demonstra conformidade com a LGPD, expondo a riscos legais e éticos.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plano de resposta a incidentes de segurança envolvendo os dados processados pela IA?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Sem plano de resposta a incidentes, um vazamento ou acesso indevido pode não ser contido a tempo, agravando os danos.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6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Os dados de treinamento do modelo foram coletados com consentimento compatível com o uso previsto neste protocolo?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Dados de treinamento coletados para outra finalidade podem não ter base legal para uso em IA neste protocolo.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como os dados serão armazenados, por quanto tempo e como serão descartados ao final do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ausência de política de armazenamento, retenção e descarte abre espaço para uso indevido dos dados após o estudo.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6.b: Bancos de Dados de Pesquisa (Res. CNS n.º 738/2024)  (máx. 29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Subseção aplicável quando o protocolo utiliza banco de dados. Deriva da Resolução CNS n.º 738/2024 e complementa o Bloco 6. A pontuação soma-se ao Bloco 6 para o cálculo final.</w:t>
      </w:r>
    </w:p>
    <w:p>
      <w:pPr>
        <w:spacing w:after="40" w:before="0" w:line="252"/>
      </w:pPr>
      <w:r>
        <w:rPr>
          <w:rFonts w:ascii="Arial" w:cs="Arial" w:eastAsia="Arial" w:hAnsi="Arial"/>
          <w:b/>
          <w:bCs/>
          <w:color w:val="92400E"/>
          <w:sz w:val="18"/>
          <w:szCs w:val="18"/>
        </w:rPr>
        <w:t xml:space="preserve">Condicional — ativada pelo filtro de banco de dados no Passo 0</w:t>
      </w:r>
    </w:p>
    <w:p>
      <w:pPr>
        <w:spacing w:after="40" w:before="0" w:line="252"/>
      </w:pPr>
      <w:r>
        <w:rPr>
          <w:rFonts w:ascii="Arial" w:cs="Arial" w:eastAsia="Arial" w:hAnsi="Arial"/>
          <w:i/>
          <w:iCs/>
          <w:color w:val="555B66"/>
          <w:sz w:val="17"/>
          <w:szCs w:val="17"/>
        </w:rPr>
        <w:t xml:space="preserve">Referência normativa: Resolução CNS n.º 738/2024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92400E"/>
          <w:sz w:val="19"/>
          <w:szCs w:val="19"/>
        </w:rPr>
        <w:t xml:space="preserve">Bloco condicional: aplicado apenas quando o Passo 0 indica uso de banco de dados. A pontuação soma ao Bloco 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P6.b.1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identifica o Controlador do banco de dados (Art. 3.º, IV da Res. CNS n.º 738/2024) com cargo, função e instituição vinculada?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Identifica o Controlador do banco (Arts. 3.º, IV e 9.º da Res. CNS n.º 738/2024), com cargo, função e instituição. Sem isso, não há cadeia de custódia formalizada sobre os dados. Item do Bloco 6.b (Res. 738), aplicável apenas quando o protocolo usa banco de dados; seus pontos somam ao escore.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P6.b.2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7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Eliminatória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Aceita “Não se aplica”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o banco foi constituído fora do âmbito de pesquisa (origem não-investigativa: prontuários, registros, bases administrativas): o Termo de Anuência Institucional (Art. 27, VI da Res. CNS n.º 738/2024) está presente?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MARIAH" (§7.3.6), independentemente da pontuação total.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P6.b.3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Termo de Compromisso de Uso de Dados (Arts. 24, V e 27, V da Res. CNS n.º 738/2024) está assinado pelos pesquisadores e anexado ao dossiê?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Confirma o Termo de Compromisso de Uso de Dados, assinado pelos pesquisadores (Arts. 24, V e 27, V da Res. CNS n.º 738/2024). É distinto do Termo de Anuência (P6.b.2): o Compromisso é dos pesquisadores; a Anuência, do responsável (dirigente ou pessoa por ele delegada) da instituição detentora. Item do Bloco 6.b (Res. 738); seus pontos somam ao escore.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P6.b.4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há pedido de dispensa de TCLE para uso futuro: o enquadramento em uma das cinco hipóteses do Art. 20 da Res. CNS n.º 738/2024 é fundamentado?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dispensa de TCLE para uso futuro só é legítima quando enquadrada em uma das cinco hipóteses taxativas do Art. 20 da Res. CNS n.º 738/2024; justificativa genérica não basta. Item do Bloco 6.b (Res. 738); seus pontos somam ao escore.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P6.b.5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Se o protocolo é multicêntrico: a controladoria conjunta está formalizada em Termo de Acordo Institucional (Art. 3.º, XVI e §2.º do Art. 12 da Res. CNS n.º 738/2024)?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 pesquisa multicêntrica, a controladoria conjunta deve estar formalizada em Termo de Acordo Institucional (Art. 3.º, XVI e §2.º do Art. 12 da Res. CNS n.º 738/2024). Item do Bloco 6.b (Res. 738); seus pontos somam ao escore.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Bloco 7: Mitigação  (máx. 75 pts)</w:t>
      </w:r>
    </w:p>
    <w:p>
      <w:pPr>
        <w:spacing w:after="50" w:before="0" w:line="252"/>
      </w:pPr>
      <w:r>
        <w:rPr>
          <w:rFonts w:ascii="Arial" w:cs="Arial" w:eastAsia="Arial" w:hAnsi="Arial"/>
          <w:sz w:val="19"/>
          <w:szCs w:val="19"/>
        </w:rPr>
        <w:t xml:space="preserve">Avalia consultas regulatórias e medidas de mitigação de risco. Pode reduzir a pontuação total do protocolo.</w:t>
      </w:r>
    </w:p>
    <w:p>
      <w:pPr>
        <w:spacing w:after="40" w:before="0" w:line="252"/>
      </w:pPr>
      <w:r>
        <w:rPr>
          <w:rFonts w:ascii="Arial" w:cs="Arial" w:eastAsia="Arial" w:hAnsi="Arial"/>
          <w:b/>
          <w:bCs/>
          <w:color w:val="92400E"/>
          <w:sz w:val="18"/>
          <w:szCs w:val="18"/>
        </w:rPr>
        <w:t xml:space="preserve">Bidirecional — Consultas adicionam pontos; Mitigações subtraem pontos</w:t>
      </w:r>
    </w:p>
    <w:p>
      <w:pPr>
        <w:pBdr>
          <w:left w:val="single" w:color="D9A441" w:sz="18" w:space="8"/>
        </w:pBdr>
        <w:shd w:fill="FBF3E2" w:val="clear"/>
        <w:spacing w:after="140" w:before="80"/>
      </w:pPr>
      <w:r>
        <w:rPr>
          <w:rFonts w:ascii="Arial" w:cs="Arial" w:eastAsia="Arial" w:hAnsi="Arial"/>
          <w:color w:val="555B66"/>
          <w:sz w:val="19"/>
          <w:szCs w:val="19"/>
        </w:rPr>
        <w:t xml:space="preserve">O “máx. 75 pts” indica a amplitude total do bloco — não um teto somável de risco: as duas consultas (P7.1, P7.2) somam no máximo +10 pts; as oito mitigações (P7.3–P7.10) podem subtrair até −65 pts, com piso de zero no bloco.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6"/>
      </w:tblGrid>
      <w:tr>
        <w:trPr>
          <w:tblHeader/>
        </w:trP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Pergunta e orientação para preenchimento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Aceita “Não se aplica”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Consulta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foi submetido a consulta prévia com a ANVISA sobre o enquadramento do sistema como SaMD?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SaMD (Software as a Medical Device) é software com finalidade médica — diagnóstico, prognóstico, monitoramento ou orientação terapêutica — regulado pela RDC ANVISA n.º 657/2022 (alinhada ao framework IMDRF). A consulta prévia (de enquadramento ou pré-submissão) é o mecanismo formal pelo qual a ANVISA se manifesta sobre se o sistema é dispositivo médico e qual a classe de risco. É especialmente importante quando o sistema gera saída que orienta ou dirige decisão clínica, está integrado a equipamento médico, processa imagens/sinais com IA para gerar recomendação, ou usa IA generativa em contexto clínico. Marque "Não se aplica" SOMENTE se o sistema comprovadamente não tem qualquer pretensão diagnóstica, prognóstica, terapêutica ou de orientação clínica (ex.: análise secundária retrospectiva sem feedback ao participante, gestão administrativa de pesquisa, pré-processamento de dados sem saída interpretativa). Qualquer dúvida razoável de enquadramento → a consulta deve ser feita.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Não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5 pts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Consulta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engajamento com o fabricante ou desenvolvedor do sistema para esclarecimento de dúvidas técnicas durante 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 engajamento com o fabricante/desenvolvedor durante o estudo dá acesso a informações técnicas relevantes para esclarecer dúvidas e tratar falhas — reduz a dependência de uma caixa-preta sem suporte.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-10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garante que um profissional habilitado revisa toda decisão gerada pelo sistema antes de sua execução?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revisão humana obrigatória antes da execução é a mitigação mais eficaz: reinsere a barreira de segurança entre a recomendação e a ação.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P7.4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-8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sistema fornece, junto a cada resultado, uma explicação compreensível sobre os fatores que influenciaram aquele resultado?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 explicação compreensível de cada resultado permite supervisão humana real, não apenas formal.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P7.5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-10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monitoramento contínuo do desempenho do sistema após o início do uso, com critérios definidos para interrupção?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Monitoramento contínuo com critérios definidos de interrupção permite detectar e conter perda de desempenho durante o uso.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P7.6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-8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Existe procedimento documentado para falha, indisponibilidade ou resultado inconsistente do sistema durante o estudo?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Procedimento documentado para falha, indisponibilidade ou resultado inconsistente garante resposta segura quando o sistema falha.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P7.7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-8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como e quando o modelo será retreinado, e quem autoriza essa atualização?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Definir como, quando e quem autoriza o retreinamento evita mudanças imprevisíveis no comportamento do sistema.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-7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 equipe responsável tem competência técnica suficiente para interpretar os resultados do sistema e identificar falhas?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Equipe com competência técnica para interpretar resultados e identificar falhas torna a supervisão efetiva.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P7.9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-7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prevê monitoramento de deriva de dados (data drift) / degradação do desempenho ao longo do tempo?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Monitorar deriva de dados (data drift) previne a degradação silenciosa do desempenho ao longo do tempo. Item de mitigação (Bloco 7, bidirecional): "Sim" subtrai pontos; "Não" os mantém — o bloco tem piso de zero.</w:t>
            </w:r>
          </w:p>
        </w:tc>
      </w:tr>
      <w:tr>
        <w:tc>
          <w:tcPr>
            <w:tcW w:type="dxa" w:w="182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P7.10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Resposta de risco: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Sim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555B66"/>
                <w:sz w:val="16"/>
                <w:szCs w:val="16"/>
              </w:rPr>
              <w:t xml:space="preserve">Peso: </w:t>
            </w:r>
            <w:r>
              <w:rPr>
                <w:rFonts w:ascii="Arial" w:cs="Arial" w:eastAsia="Arial" w:hAnsi="Arial"/>
                <w:b/>
                <w:bCs/>
                <w:color w:val="1F2937"/>
                <w:sz w:val="16"/>
                <w:szCs w:val="16"/>
              </w:rPr>
              <w:t xml:space="preserve">-7 pts (se “Sim”)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i/>
                <w:iCs/>
                <w:color w:val="92400E"/>
                <w:sz w:val="15"/>
                <w:szCs w:val="15"/>
              </w:rPr>
              <w:t xml:space="preserve">• Mitigação (subtrai)</w:t>
            </w:r>
          </w:p>
        </w:tc>
        <w:tc>
          <w:tcPr>
            <w:tcW w:type="dxa" w:w="720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 protocolo descreve responsabilidade humana clara e identificada em caso de erro ou dano decorrente do sistema?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F766E"/>
                <w:sz w:val="18"/>
                <w:szCs w:val="18"/>
              </w:rPr>
              <w:t xml:space="preserve">Orientação. </w:t>
            </w:r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Responsabilidade humana clara e identificada em caso de erro ou dano protege o participante e evita zona cinzenta de imputação. Item de mitigação (Bloco 7, bidirecional): "Sim" subtrai pontos; "Não" os mantém — o bloco tem piso de zero.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ageBreakBefore/>
        <w:spacing w:after="140"/>
      </w:pPr>
      <w:r>
        <w:rPr>
          <w:rFonts w:ascii="Arial" w:cs="Arial" w:eastAsia="Arial" w:hAnsi="Arial"/>
          <w:b/>
          <w:bCs/>
          <w:color w:val="0F766E"/>
          <w:sz w:val="30"/>
          <w:szCs w:val="30"/>
        </w:rPr>
        <w:t xml:space="preserve">3. Como ler o resultado</w:t>
      </w:r>
    </w:p>
    <w:p>
      <w:pPr>
        <w:spacing w:after="80" w:before="0" w:line="252"/>
      </w:pPr>
      <w:r>
        <w:rPr>
          <w:rFonts w:ascii="Arial" w:cs="Arial" w:eastAsia="Arial" w:hAnsi="Arial"/>
        </w:rPr>
        <w:t xml:space="preserve">Some os pontos de todos os blocos aplicáveis e compare com os pontos de corte. Atenção às salvaguardas: a Cláusula de Prevalência (Bloco 4) força Nível IV; questão eliminatória (P6.b.2) respondida no sentido de risco torna o protocolo “não avaliável pela MARIAH”.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626"/>
      </w:tblGrid>
      <w:tr>
        <w:trPr>
          <w:tblHeader/>
        </w:trP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Rótulo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0F766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Baixo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baixo — requisitos mínimos de documentação e transparência.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Moderado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moderado — exige descrição do sistema e conformidade com a LGPD.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III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Alto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alto — exige validação técnica, análise por subgrupos e supervisão humana efetiva.</w:t>
            </w:r>
          </w:p>
        </w:tc>
      </w:tr>
      <w:tr>
        <w:tc>
          <w:tcPr>
            <w:tcW w:type="dxa" w:w="9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IV</w:t>
            </w:r>
          </w:p>
        </w:tc>
        <w:tc>
          <w:tcPr>
            <w:tcW w:type="dxa" w:w="1500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Crítico</w:t>
            </w:r>
          </w:p>
        </w:tc>
        <w:tc>
          <w:tcPr>
            <w:tcW w:type="dxa" w:w="6626"/>
            <w:tcBorders>
              <w:top w:val="single" w:color="BFD7E2" w:sz="1"/>
              <w:left w:val="single" w:color="BFD7E2" w:sz="1"/>
              <w:bottom w:val="single" w:color="BFD7E2" w:sz="1"/>
              <w:right w:val="single" w:color="BFD7E2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Risco crítico — exige parecer técnico externo, monitoramento contínuo e notificação à ANVISA quando aplicável.</w:t>
            </w:r>
          </w:p>
        </w:tc>
      </w:tr>
    </w:tbl>
    <w:p>
      <w:pPr>
        <w:spacing w:after="40" w:before="0" w:line="252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F766E"/>
          <w:sz w:val="25"/>
          <w:szCs w:val="25"/>
        </w:rPr>
        <w:t xml:space="preserve">Anexo — Requisitos por nível (cumulativos)</w:t>
      </w:r>
    </w:p>
    <w:p>
      <w:pPr>
        <w:spacing w:after="80" w:before="0" w:line="252"/>
      </w:pPr>
      <w:r>
        <w:rPr>
          <w:rFonts w:ascii="Arial" w:cs="Arial" w:eastAsia="Arial" w:hAnsi="Arial"/>
          <w:sz w:val="19"/>
          <w:szCs w:val="19"/>
        </w:rPr>
        <w:t xml:space="preserve">Requisitos que o protocolo deve atender conforme o nível atribuído. São cumulativos: cada nível soma-se aos anteriores.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 (Baixo)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Declaração de uso de IA no protocolo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Menção no TCLE de que um sistema algorítmico será utilizado e qual é o seu papel no estudo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Identificação do Controlador do banco de dados (Art. 3.º, IV da Res. CNS n.º 738/2024)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II (Moderado)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Descrição do sistema e origem dos dados de treinamento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Demonstração de conformidade com a LGPD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Indicação da base legal para o tratamento dos dados utilizados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Compromisso de Uso de Dados assinado pelos pesquisadores (Arts. 24, V e 27, V da Res. CNS n.º 738/2024)  [Res. 738 — só com banco de dados]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Anuência Institucional para bancos externos à pesquisa (Art. 27, VI da Res. CNS n.º 738/2024) — obrigatório/eliminatório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III (Alto)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Documentação de validação técnica do sistema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Análise de desempenho por subgrupos populacionais relevantes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Comprovação de mecanismo de supervisão humana efetiva no circuito decisório (human-in-the-loop)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Identificação do Encarregado de Dados da instituição responsável pelo estudo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Fundamentação do enquadramento de dispensa de TCLE nas cinco hipóteses do Art. 20 da Res. CNS n.º 738/2024  [Res. 738 — só com banco de dados]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Termo de Acordo Institucional para controladoria conjunta em protocolos multicêntricos (Art. 3.º, XVI e §2.º do Art. 12 da Res. CNS n.º 738/2024)  [Res. 738 — só com banco de dados]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F766E"/>
          <w:sz w:val="19"/>
          <w:szCs w:val="19"/>
        </w:rPr>
        <w:t xml:space="preserve">Nível IV (Crítico) — requisitos acumulados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Parecer técnico externo sobre o sistema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Plano de monitoramento contínuo com critérios definidos de interrupção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Notificação à ANVISA quando o sistema se enquadrar como SaMD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F2937"/>
          <w:sz w:val="18"/>
          <w:szCs w:val="18"/>
        </w:rPr>
        <w:t xml:space="preserve">Submissão do protocolo à apreciação em instância superior do CEP, quando prevista no regimento institucional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555B66"/>
          <w:sz w:val="18"/>
          <w:szCs w:val="18"/>
        </w:rPr>
        <w:t xml:space="preserve">Diligência obrigatória (§7.3.6 do Capítulo 7 da Res. CNS n.º 738/2024) sempre que configurada ausência de cadeia de custódia formalizada  [Res. 738 — só com banco de dados]</w:t>
      </w:r>
    </w:p>
    <w:p>
      <w:pPr>
        <w:spacing w:after="120" w:before="160" w:line="252"/>
      </w:pPr>
      <w:r>
        <w:rPr>
          <w:rFonts w:ascii="Arial" w:cs="Arial" w:eastAsia="Arial" w:hAnsi="Arial"/>
          <w:i/>
          <w:iCs/>
          <w:color w:val="555B66"/>
          <w:sz w:val="18"/>
          <w:szCs w:val="18"/>
        </w:rPr>
        <w:t xml:space="preserve">Observações e críticas técnicas podem ser encaminhadas à CGREP (cgrep@saude.gov.br).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4"/>
      </w:pBdr>
      <w:tabs>
        <w:tab w:val="right" w:pos="9026"/>
      </w:tabs>
    </w:pPr>
    <w:r>
      <w:rPr>
        <w:rFonts w:ascii="Arial" w:cs="Arial" w:eastAsia="Arial" w:hAnsi="Arial"/>
        <w:color w:val="555B66"/>
        <w:sz w:val="15"/>
        <w:szCs w:val="15"/>
      </w:rPr>
      <w:t xml:space="preserve">Ministério da Saúde · INAEP — versão preliminar (em revisão)</w:t>
    </w:r>
    <w:r>
      <w:rPr>
        <w:rFonts w:ascii="Arial" w:cs="Arial" w:eastAsia="Arial" w:hAnsi="Arial"/>
        <w:color w:val="555B66"/>
        <w:sz w:val="15"/>
        <w:szCs w:val="15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766E" w:sz="6" w:space="4"/>
      </w:pBdr>
    </w:pPr>
    <w:r>
      <w:rPr>
        <w:rFonts w:ascii="Arial" w:cs="Arial" w:eastAsia="Arial" w:hAnsi="Arial"/>
        <w:color w:val="0F766E"/>
        <w:sz w:val="15"/>
        <w:szCs w:val="15"/>
      </w:rPr>
      <w:t xml:space="preserve">MARIAH — Matriz de Avaliação de Risco de Inteligência Artificial em Pesquisa com Seres Humanos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2026-06-25T13:24:12.528Z</dcterms:created>
  <dcterms:modified xsi:type="dcterms:W3CDTF">2026-06-25T13:24:12.528Z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