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5B63" w14:textId="77777777" w:rsidR="002214C8" w:rsidRPr="00903152" w:rsidRDefault="00000000" w:rsidP="00903152">
      <w:pPr>
        <w:spacing w:after="60" w:line="360" w:lineRule="auto"/>
        <w:rPr>
          <w:rFonts w:ascii="Times New Roman" w:hAnsi="Times New Roman" w:cs="Times New Roman"/>
          <w:sz w:val="24"/>
          <w:szCs w:val="24"/>
        </w:rPr>
      </w:pPr>
      <w:r>
        <w:rPr>
          <w:rFonts w:ascii="Times New Roman" w:hAnsi="Times New Roman" w:cs="Times New Roman"/>
          <w:i/>
          <w:iCs/>
          <w:color w:val="6B7280"/>
          <w:sz w:val="24"/>
          <w:szCs w:val="24"/>
        </w:rPr>
        <w:t>Nota técnica de transparencia metodológica</w:t>
      </w:r>
    </w:p>
    <w:p w14:paraId="1771DB94" w14:textId="77777777" w:rsidR="002214C8" w:rsidRPr="00903152" w:rsidRDefault="00000000" w:rsidP="00903152">
      <w:pPr>
        <w:spacing w:after="240" w:line="360" w:lineRule="auto"/>
        <w:rPr>
          <w:rFonts w:ascii="Times New Roman" w:hAnsi="Times New Roman" w:cs="Times New Roman"/>
          <w:sz w:val="24"/>
          <w:szCs w:val="24"/>
        </w:rPr>
      </w:pPr>
      <w:r>
        <w:rPr>
          <w:rFonts w:ascii="Times New Roman" w:hAnsi="Times New Roman" w:cs="Times New Roman"/>
          <w:b/>
          <w:bCs/>
          <w:color w:val="0F766E"/>
          <w:sz w:val="24"/>
          <w:szCs w:val="24"/>
        </w:rPr>
        <w:t>Premisas de la clasificación de riesgo de la MARIAH</w:t>
      </w:r>
    </w:p>
    <w:p w14:paraId="060184ED" w14:textId="167B9215" w:rsidR="002214C8" w:rsidRPr="00903152" w:rsidRDefault="00000000" w:rsidP="00903152">
      <w:pPr>
        <w:spacing w:after="240" w:line="360" w:lineRule="auto"/>
        <w:rPr>
          <w:rFonts w:ascii="Times New Roman" w:hAnsi="Times New Roman" w:cs="Times New Roman"/>
          <w:sz w:val="24"/>
          <w:szCs w:val="24"/>
        </w:rPr>
      </w:pPr>
      <w:r>
        <w:rPr>
          <w:rFonts w:ascii="Times New Roman" w:hAnsi="Times New Roman" w:cs="Times New Roman"/>
          <w:i/>
          <w:iCs/>
          <w:color w:val="6B7280"/>
          <w:sz w:val="24"/>
          <w:szCs w:val="24"/>
        </w:rPr>
        <w:t>MARIAH Matriz de Evaluación de Riesgo en Inteligencia Artificial en Investigación con Seres Humanos · Versión preliminar · Junio de 2026</w:t>
      </w:r>
    </w:p>
    <w:p w14:paraId="060184ED" w14:textId="167B9215" w:rsidR="002214C8" w:rsidRPr="00903152" w:rsidRDefault="00000000" w:rsidP="00903152">
      <w:pPr>
        <w:spacing w:after="240" w:line="360" w:lineRule="auto"/>
        <w:rPr>
          <w:rFonts w:ascii="Times New Roman" w:hAnsi="Times New Roman" w:cs="Times New Roman"/>
          <w:sz w:val="24"/>
          <w:szCs w:val="24"/>
        </w:rPr>
      </w:pPr>
      <w:r>
        <w:rPr>
          <w:rFonts w:ascii="Times New Roman" w:hAnsi="Times New Roman" w:cs="Times New Roman"/>
          <w:color w:val="6B7280"/>
          <w:i/>
          <w:sz w:val="18"/>
          <w:szCs w:val="18"/>
        </w:rPr>
        <w:t>Esta es una traducción de cortesía. La versión normativa vigente es la versión en portugués (pt-BR).</w:t>
      </w:r>
    </w:p>
    <w:p w14:paraId="03552881" w14:textId="0279E09D" w:rsidR="002214C8" w:rsidRPr="00903152" w:rsidRDefault="00000000" w:rsidP="0090315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Este documento explicita las premisas que sustentan la clasificación de riesgo producida por la MARIAH. Este texto está dirigido a lectores técnicos, como estadísticos, metodólogos, integrantes de CEP e investigadores, que necesitan auditar, criticar o entender las decisiones del instrumento. No constituye una invitación a que ningún lector en particular conduzca la validación: la validación empírica es prospectiva y tiene una trayectoria propia, descrita al final.</w:t>
      </w:r>
    </w:p>
    <w:p w14:paraId="7116BF96" w14:textId="77777777" w:rsidR="00903152" w:rsidRDefault="00903152">
      <w:pPr>
        <w:spacing w:after="120" w:line="360" w:lineRule="auto"/>
        <w:jc w:val="both"/>
      </w:pPr>
      <w:r>
        <w:rPr>
          <w:rFonts w:ascii="Times New Roman" w:hAnsi="Times New Roman" w:cs="Times New Roman"/>
          <w:sz w:val="24"/>
          <w:szCs w:val="24"/>
        </w:rPr>
        <w:t>Las premisas de la MARIAH se organizan en tres capas: (i) lo que deriva de la norma; (ii) lo que se adoptó en la elaboración de la matriz, con base en el referencial normativo y en la literatura sistematizada en la propia Guía; y (iii) lo que permanece pendiente de validación empírica, objeto del protocolo descrito en la Sección de Validación Local (documento MARIAH). El documento presenta las principales decisiones metodológicas y sus justificaciones, e indica lo que ya puede someterse a juicio técnico y lo que, por ahora, todavía no.</w:t>
      </w:r>
    </w:p>
    <w:p w14:paraId="0D4554C8" w14:textId="77777777" w:rsidR="002214C8" w:rsidRPr="00903152" w:rsidRDefault="00000000" w:rsidP="00903152">
      <w:pPr>
        <w:pStyle w:val="Heading1"/>
        <w:spacing w:line="360" w:lineRule="auto"/>
        <w:rPr>
          <w:rFonts w:ascii="Times New Roman" w:hAnsi="Times New Roman" w:cs="Times New Roman"/>
          <w:sz w:val="24"/>
          <w:szCs w:val="24"/>
        </w:rPr>
      </w:pPr>
      <w:r>
        <w:rPr>
          <w:rFonts w:ascii="Times New Roman" w:hAnsi="Times New Roman" w:cs="Times New Roman"/>
          <w:sz w:val="24"/>
          <w:szCs w:val="24"/>
        </w:rPr>
        <w:t>1. Capa normativa (no está en discusión)</w:t>
      </w:r>
    </w:p>
    <w:p w14:paraId="37D22C16" w14:textId="531ED27B"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Los cuatro niveles de riesgo (I, II, III, IV) siguen la categorización del Consejo Nacional de Salud (CNS) de Brasil —bajo, moderado, alto y crítico—, fijada por las Resoluciones CNS n.º 466/2012, 510/2016 y 738/2024.</w:t>
      </w:r>
    </w:p>
    <w:p w14:paraId="14F22103"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La escala se trata como ordinal, no de intervalo: no se asume que la distancia semántica entre el Nivel I y el II equivalga a la distancia entre el Nivel III y el IV.</w:t>
      </w:r>
    </w:p>
    <w:p w14:paraId="27E91B7A" w14:textId="6BA411AF"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Los ejes temáticos de la Versión A (Ejes 1 a 5, y el Eje 3.b condicionado a la Res. 738) derivan del mapeo normativo y de la literatura ética sobre IA en investigación con seres humanos. Se trataron como dimensiones conceptualmente independientes del riesgo, es decir, una decisión teórica, no un hallazgo empírico.</w:t>
      </w:r>
    </w:p>
    <w:p w14:paraId="34CFD151" w14:textId="72D1FDA4" w:rsidR="002214C8" w:rsidRPr="00903152" w:rsidRDefault="00000000" w:rsidP="00903152">
      <w:pPr>
        <w:pStyle w:val="Heading1"/>
        <w:spacing w:line="360" w:lineRule="auto"/>
        <w:rPr>
          <w:rFonts w:ascii="Times New Roman" w:hAnsi="Times New Roman" w:cs="Times New Roman"/>
          <w:sz w:val="24"/>
          <w:szCs w:val="24"/>
        </w:rPr>
      </w:pPr>
      <w:r>
        <w:rPr>
          <w:rFonts w:ascii="Times New Roman" w:hAnsi="Times New Roman" w:cs="Times New Roman"/>
          <w:sz w:val="24"/>
          <w:szCs w:val="24"/>
        </w:rPr>
        <w:t xml:space="preserve">2. Capa de elaboración: decisiones adoptadas en la construcción de la matriz</w:t>
      </w:r>
    </w:p>
    <w:p w14:paraId="239DDA88" w14:textId="7E3D4B89" w:rsidR="002214C8" w:rsidRPr="00903152" w:rsidRDefault="00000000" w:rsidP="00903152">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Las decisiones aquí descritas fueron adoptadas por la organización en la elaboración de la matriz, a partir del referencial normativo y de la literatura sistematizada para la Guía. La matriz, ahora en la versión de la Guía para el GT (junio de 2026), está abierta a sugerencias editoriales y de mérito, pues no </w:t>
        <w:lastRenderedPageBreak/>
        <w:t xml:space="preserve">refleja la deliberación colegiada del Grupo de Trabajo. Los eventuales ajustes a estas decisiones se consolidarán al final del período de lectura.</w:t>
      </w:r>
    </w:p>
    <w:p w14:paraId="79D55F88" w14:textId="1C06EAF1" w:rsidR="002214C8" w:rsidRPr="00903152" w:rsidRDefault="00000000" w:rsidP="00903152">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2.1 Versión A: regla cualitativa por eje</w:t>
      </w:r>
    </w:p>
    <w:p w14:paraId="09BED33B"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Umbrales por eje (regla estándar): 0 preguntas de riesgo → Nivel I; 1–2 → Nivel II; 3–4 → Nivel III; 5 o más → Nivel IV. Calibración teórica, no derivada de datos.</w:t>
      </w:r>
    </w:p>
    <w:p w14:paraId="78BA246B" w14:textId="2BCC4E79"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Regla de consolidación por máximo: el nivel final es el más alto observado entre todos los ejes aplicables. </w:t>
      </w:r>
      <w:r>
        <w:rPr>
          <w:rFonts w:ascii="Times New Roman" w:hAnsi="Times New Roman" w:cs="Times New Roman"/>
          <w:b/>
          <w:bCs/>
          <w:sz w:val="24"/>
          <w:szCs w:val="24"/>
        </w:rPr>
        <w:t>Se trata de una decisión deliberadamente conservadora, alineada con el principio de precaución en ética de la investigación</w:t>
      </w:r>
      <w:r>
        <w:rPr>
          <w:rFonts w:ascii="Times New Roman" w:hAnsi="Times New Roman" w:cs="Times New Roman"/>
          <w:sz w:val="24"/>
          <w:szCs w:val="24"/>
        </w:rPr>
        <w:t xml:space="preserve">. Las alternativas estadísticas (media, mediana, suma ponderada) se descartaron en la elaboración porque suavizan señales críticas en ejes específicos.</w:t>
      </w:r>
    </w:p>
    <w:p w14:paraId="18142099"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Regla especial del Eje 3.b (Res. 738/2024): 0 → Nivel I (no eleva); 1–2 → Nivel III; 3 o más → Nivel IV. El Nivel II se salta deliberadamente en este eje, lo que refleja el entendimiento de que los problemas con bancos de datos de investigación no admiten una categoría moderada intermedia.</w:t>
      </w:r>
    </w:p>
    <w:p w14:paraId="57334D7F" w14:textId="3582BCAF"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Preguntas eliminatorias (modo Res. 738): cuando se activan, clasifican el protocolo como «no evaluable por la MARIAH», salida categorial que sobrescribe la suma y exige un análisis individualizado del colegiado. Se suman además ítems de diligencia (Eje 3.b / Bloque 6.b) que, si no se cumplen, devuelven el protocolo sin análisis de mérito.</w:t>
      </w:r>
    </w:p>
    <w:p w14:paraId="6630D8A7" w14:textId="3F2869FA" w:rsidR="002214C8" w:rsidRPr="00903152" w:rsidRDefault="00000000" w:rsidP="00903152">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2.2 Versión B: puntuación cuantitativa por bloque</w:t>
      </w:r>
    </w:p>
    <w:p w14:paraId="7AF45E7F"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Los pesos por pregunta dentro de cada uno de los siete bloques se asignaron en la elaboración de la matriz, con base en el referencial normativo y en la literatura. No hubo, en esta fase, deliberación colegiada con voto ponderado, análisis factorial confirmatorio, regresión sobre desenlaces éticos ni elicitación probabilística estructurada (Delphi cuantitativo).</w:t>
      </w:r>
    </w:p>
    <w:p w14:paraId="0BDA3A8E"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Modelo aditivo: la puntuación total es la suma de las puntuaciones de los bloques. Se asume la aditividad de los efectos de riesgo; no hay términos de interacción ni ponderación multiplicativa entre bloques.</w:t>
      </w:r>
    </w:p>
    <w:p w14:paraId="4E051C32"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Cláusula de Primacía Ética: si P4.1 o P4.2 = Sí, el protocolo se eleva obligatoriamente al Nivel IV, sobrescribiendo la suma. Se trata de una regla deontológica incorporada a la escala — ruptura deliberada de la aditividad, adoptada en la elaboración como salvaguarda ética.</w:t>
      </w:r>
    </w:p>
    <w:p w14:paraId="3517965D"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El Bloque 7 (Mitigación) es bidireccional: las preguntas suman puntos cuando la respuesta es «No» (sin mitigación, riesgo preservado) y restan cuando es «Sí» (mitigación aplicada), con piso de cero. La mitigación reduce la puntuación pero no genera «crédito» transferible por debajo de cero. El bloque se divide en tres subbloques — 7A (consultas), 7B (medidas de reducción) y 7C (evidencias de transparencia, en régimen de solo descuento: presentes restan, ausentes no suman).</w:t>
      </w:r>
    </w:p>
    <w:p w14:paraId="64F02C59"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Puntos de corte para los cuatro niveles: calibrados teóricamente, con ajuste proporcional cuando el Bloque 6.b (Res. 738) está activo. Los límites operativos figuran en la Tabla 1.</w:t>
      </w:r>
    </w:p>
    <w:p w14:paraId="6CE245DE" w14:textId="355C1F49" w:rsidR="002214C8" w:rsidRPr="00903152" w:rsidRDefault="00000000" w:rsidP="00903152">
      <w:pPr>
        <w:pStyle w:val="Heading2"/>
        <w:spacing w:line="360" w:lineRule="auto"/>
        <w:jc w:val="center"/>
        <w:rPr>
          <w:rFonts w:ascii="Times New Roman" w:hAnsi="Times New Roman" w:cs="Times New Roman"/>
          <w:sz w:val="24"/>
          <w:szCs w:val="24"/>
        </w:rPr>
      </w:pPr>
      <w:r>
        <w:rPr>
          <w:rFonts w:ascii="Times New Roman" w:hAnsi="Times New Roman" w:cs="Times New Roman"/>
          <w:sz w:val="24"/>
          <w:szCs w:val="24"/>
        </w:rPr>
        <w:t>Tabla 1 Puntos de corte de la Versión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14C8" w:rsidRPr="00903152" w14:paraId="10070C1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9F594C" w14:textId="77777777" w:rsidR="002214C8" w:rsidRPr="00903152" w:rsidRDefault="00000000" w:rsidP="00903152">
            <w:pPr>
              <w:spacing w:line="360" w:lineRule="auto"/>
              <w:rPr>
                <w:rFonts w:ascii="Times New Roman" w:hAnsi="Times New Roman" w:cs="Times New Roman"/>
                <w:sz w:val="24"/>
                <w:szCs w:val="24"/>
              </w:rPr>
            </w:pPr>
            <w:r>
              <w:rPr>
                <w:rFonts w:ascii="Times New Roman" w:hAnsi="Times New Roman" w:cs="Times New Roman"/>
                <w:b/>
                <w:bCs/>
                <w:sz w:val="24"/>
                <w:szCs w:val="24"/>
              </w:rPr>
              <w:t>Escenario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197FE"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Puntuación máxima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A0CDE2"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Rangos (I · II · III · IV)</w:t>
            </w:r>
          </w:p>
        </w:tc>
      </w:tr>
      <w:tr w:rsidR="002214C8" w:rsidRPr="00903152" w14:paraId="0C6930C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71ED9" w14:textId="77777777" w:rsidR="002214C8" w:rsidRPr="00903152" w:rsidRDefault="00000000" w:rsidP="00903152">
            <w:pPr>
              <w:spacing w:line="360" w:lineRule="auto"/>
              <w:rPr>
                <w:rFonts w:ascii="Times New Roman" w:hAnsi="Times New Roman" w:cs="Times New Roman"/>
                <w:sz w:val="24"/>
                <w:szCs w:val="24"/>
              </w:rPr>
            </w:pPr>
            <w:r>
              <w:rPr>
                <w:rFonts w:ascii="Times New Roman" w:hAnsi="Times New Roman" w:cs="Times New Roman"/>
                <w:sz w:val="24"/>
                <w:szCs w:val="24"/>
              </w:rPr>
              <w:t>Sin banco de datos (Bloques 1–7)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64E5"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sz w:val="24"/>
                <w:szCs w:val="24"/>
              </w:rPr>
              <w:t>275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54A0"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sz w:val="24"/>
                <w:szCs w:val="24"/>
              </w:rPr>
              <w:t>≤0–58 · 59–127 · 128–208 · ≥209</w:t>
            </w:r>
          </w:p>
        </w:tc>
      </w:tr>
      <w:tr w:rsidR="002214C8" w:rsidRPr="00903152" w14:paraId="3C81825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140A" w14:textId="77777777" w:rsidR="002214C8" w:rsidRPr="00903152" w:rsidRDefault="00000000" w:rsidP="00903152">
            <w:pPr>
              <w:spacing w:line="360" w:lineRule="auto"/>
              <w:rPr>
                <w:rFonts w:ascii="Times New Roman" w:hAnsi="Times New Roman" w:cs="Times New Roman"/>
                <w:sz w:val="24"/>
                <w:szCs w:val="24"/>
              </w:rPr>
            </w:pPr>
            <w:r>
              <w:rPr>
                <w:rFonts w:ascii="Times New Roman" w:hAnsi="Times New Roman" w:cs="Times New Roman"/>
                <w:sz w:val="24"/>
                <w:szCs w:val="24"/>
              </w:rPr>
              <w:t>Con banco de datos (incluye el Bloque 6.b, Res. 738)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AA3FF"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sz w:val="24"/>
                <w:szCs w:val="24"/>
              </w:rPr>
              <w:t>304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21161" w14:textId="77777777" w:rsidR="002214C8" w:rsidRPr="00903152" w:rsidRDefault="00000000" w:rsidP="00903152">
            <w:pPr>
              <w:spacing w:line="360" w:lineRule="auto"/>
              <w:jc w:val="center"/>
              <w:rPr>
                <w:rFonts w:ascii="Times New Roman" w:hAnsi="Times New Roman" w:cs="Times New Roman"/>
                <w:sz w:val="24"/>
                <w:szCs w:val="24"/>
              </w:rPr>
            </w:pPr>
            <w:r>
              <w:rPr>
                <w:rFonts w:ascii="Times New Roman" w:hAnsi="Times New Roman" w:cs="Times New Roman"/>
                <w:sz w:val="24"/>
                <w:szCs w:val="24"/>
              </w:rPr>
              <w:t>≤0–64 · 65–141 · 142–230 · ≥231</w:t>
            </w:r>
          </w:p>
        </w:tc>
      </w:tr>
      <w:tr w:rsidR="00903152" w:rsidRPr="00903152" w14:paraId="17CF2E93" w14:textId="77777777" w:rsidTr="00EC64B0">
        <w:tc>
          <w:tcPr>
            <w:tcW w:w="93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FC27" w14:textId="54813FDE" w:rsidR="00903152" w:rsidRPr="00903152" w:rsidRDefault="00903152" w:rsidP="00903152">
            <w:pPr>
              <w:spacing w:after="120"/>
              <w:jc w:val="both"/>
              <w:rPr>
                <w:rFonts w:ascii="Times New Roman" w:hAnsi="Times New Roman" w:cs="Times New Roman"/>
                <w:sz w:val="24"/>
                <w:szCs w:val="24"/>
              </w:rPr>
            </w:pPr>
            <w:r>
              <w:rPr>
                <w:rFonts w:ascii="Times New Roman" w:hAnsi="Times New Roman" w:cs="Times New Roman"/>
                <w:color w:val="6B7280"/>
                <w:sz w:val="24"/>
                <w:szCs w:val="24"/>
              </w:rPr>
              <w:t xml:space="preserve">Nota: Los puntos de corte derivan de las fracciones fijas de la línea de base 238 (50/238, 110/238, 180/238) aplicadas al techo teórico vigente, con redondeo de media unidad hacia arriba. Con banco de datos, el techo teórico es 304 y el techo evaluable es 297 (descontada la pregunta eliminatoria P6.b.2). La calibración definitiva es prospectiva — se esperan ajustes tras la observación de la distribución empírica (Frente 2 de la Validación Local).</w:t>
            </w:r>
          </w:p>
        </w:tc>
      </w:tr>
    </w:tbl>
    <w:p w14:paraId="0D83BE97" w14:textId="4D07627D" w:rsidR="002214C8" w:rsidRPr="00903152" w:rsidRDefault="00000000" w:rsidP="00903152">
      <w:pPr>
        <w:pStyle w:val="Heading1"/>
        <w:spacing w:line="360" w:lineRule="auto"/>
        <w:rPr>
          <w:rFonts w:ascii="Times New Roman" w:hAnsi="Times New Roman" w:cs="Times New Roman"/>
          <w:sz w:val="24"/>
          <w:szCs w:val="24"/>
        </w:rPr>
      </w:pPr>
      <w:r>
        <w:rPr>
          <w:rFonts w:ascii="Times New Roman" w:hAnsi="Times New Roman" w:cs="Times New Roman"/>
          <w:sz w:val="24"/>
          <w:szCs w:val="24"/>
        </w:rPr>
        <w:t xml:space="preserve">3. Capa empírica pendiente, objeto de la Validación Local (documento MARIAH)</w:t>
      </w:r>
    </w:p>
    <w:p w14:paraId="123356E3" w14:textId="77777777" w:rsidR="002214C8" w:rsidRPr="00903152" w:rsidRDefault="00000000" w:rsidP="00903152">
      <w:pPr>
        <w:spacing w:after="120" w:line="360" w:lineRule="auto"/>
        <w:ind w:firstLine="540"/>
        <w:jc w:val="both"/>
        <w:rPr>
          <w:rFonts w:ascii="Times New Roman" w:hAnsi="Times New Roman" w:cs="Times New Roman"/>
          <w:sz w:val="24"/>
          <w:szCs w:val="24"/>
        </w:rPr>
      </w:pPr>
      <w:r>
        <w:rPr>
          <w:rFonts w:ascii="Times New Roman" w:hAnsi="Times New Roman" w:cs="Times New Roman"/>
          <w:sz w:val="24"/>
          <w:szCs w:val="24"/>
        </w:rPr>
        <w:t>Ante la pregunta «¿cómo se validó psicométricamente la MARIAH?», la respuesta honesta es: todavía no se validó. La validación empírica es prospectiva y ocurrirá a medida que los CEPs adopten voluntariamente el protocolo descrito en la Sección de Validación Local (documento MARIAH) y lo conduzcan sobre la casuística que efectivamente les sea presentada. No hay, por el momento, especialistas designados de antemano ni cronograma centralizado para la validación: el diseño es deliberadamente descentralizado y acumulativo. La Sección de Validación Local (documento MARIAH) define tres frentes mínimos:</w:t>
      </w:r>
    </w:p>
    <w:p w14:paraId="56990680" w14:textId="1CDF83E5"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Frente 1: Confiabilidad interevaluador (Versión A): </w:t>
      </w:r>
      <w:r>
        <w:rPr>
          <w:rFonts w:ascii="Times New Roman" w:hAnsi="Times New Roman" w:cs="Times New Roman"/>
          <w:sz w:val="24"/>
          <w:szCs w:val="24"/>
        </w:rPr>
        <w:t xml:space="preserve">verifica si dos o más miembros del CEP, al aplicar la Versión A al mismo protocolo de forma independiente, llegan a la misma clasificación (kappa). </w:t>
      </w:r>
    </w:p>
    <w:p w14:paraId="479B33A4" w14:textId="2ABA4D7D"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Frente 2: Distribución empírica en los cuatro niveles (Versión B): </w:t>
      </w:r>
      <w:r>
        <w:rPr>
          <w:rFonts w:ascii="Times New Roman" w:hAnsi="Times New Roman" w:cs="Times New Roman"/>
          <w:sz w:val="24"/>
          <w:szCs w:val="24"/>
        </w:rPr>
        <w:t>examina cómo se distribuye la casuística del CEP en los niveles e identifica concentraciones próximas a los puntos de corte, lo que informa futuros ajustes de calibración.</w:t>
      </w:r>
    </w:p>
    <w:p w14:paraId="2818FDEF" w14:textId="1C630B34"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Frente 3: Convergencia entre las Versiones A y B (modo triaje): </w:t>
      </w:r>
      <w:r>
        <w:rPr>
          <w:rFonts w:ascii="Times New Roman" w:hAnsi="Times New Roman" w:cs="Times New Roman"/>
          <w:sz w:val="24"/>
          <w:szCs w:val="24"/>
        </w:rPr>
        <w:t>tabla de contingencia 4×4 que cruza las clasificaciones de las dos versiones para los protocolos evaluados en ambas; permite identificar discordancia sistemática entre los dos instrumentos.</w:t>
      </w:r>
    </w:p>
    <w:p w14:paraId="61D28E1E" w14:textId="77777777" w:rsidR="002214C8" w:rsidRPr="00903152" w:rsidRDefault="00000000" w:rsidP="00903152">
      <w:pPr>
        <w:pStyle w:val="Heading2"/>
        <w:spacing w:line="360" w:lineRule="auto"/>
        <w:rPr>
          <w:rFonts w:ascii="Times New Roman" w:hAnsi="Times New Roman" w:cs="Times New Roman"/>
          <w:sz w:val="24"/>
          <w:szCs w:val="24"/>
        </w:rPr>
      </w:pPr>
      <w:r>
        <w:rPr>
          <w:rFonts w:ascii="Times New Roman" w:hAnsi="Times New Roman" w:cs="Times New Roman"/>
          <w:sz w:val="24"/>
          <w:szCs w:val="24"/>
        </w:rPr>
        <w:t>3.1 Lo que la Validación Local deliberadamente NO cubre</w:t>
      </w:r>
    </w:p>
    <w:p w14:paraId="65A2FBFF"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Validez predictiva longitudinal (capacidad del instrumento de predecir desenlaces éticos reales de protocolos aprobados). Requeriría un seguimiento prospectivo y está fuera del alcance de esta primera fase.</w:t>
      </w:r>
    </w:p>
    <w:p w14:paraId="38AA6371"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Validez de constructo mediante análisis factorial confirmatorio sobre los ejes de la Versión A o los bloques de la Versión B.</w:t>
      </w:r>
    </w:p>
    <w:p w14:paraId="7BB5BEEA"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Análisis de sensibilidad de los pesos (cómo pequeñas variaciones en los puntos por pregunta alteran la clasificación de protocolos limítrofes).</w:t>
      </w:r>
    </w:p>
    <w:p w14:paraId="066A012F" w14:textId="77777777" w:rsidR="002214C8" w:rsidRPr="00903152" w:rsidRDefault="00000000" w:rsidP="00903152">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Calibración formal de los puntos de corte mediante curvas ROC frente a un patrón de referencia — inexistente para este dominio en el estado actual del conocimiento.</w:t>
      </w:r>
    </w:p>
    <w:p w14:paraId="2BBC2A63" w14:textId="77777777" w:rsidR="002214C8" w:rsidRPr="00903152" w:rsidRDefault="00000000" w:rsidP="00903152">
      <w:pPr>
        <w:pStyle w:val="Heading1"/>
        <w:spacing w:line="360" w:lineRule="auto"/>
        <w:rPr>
          <w:rFonts w:ascii="Times New Roman" w:hAnsi="Times New Roman" w:cs="Times New Roman"/>
          <w:sz w:val="24"/>
          <w:szCs w:val="24"/>
        </w:rPr>
      </w:pPr>
      <w:r>
        <w:rPr>
          <w:rFonts w:ascii="Times New Roman" w:hAnsi="Times New Roman" w:cs="Times New Roman"/>
          <w:sz w:val="24"/>
          <w:szCs w:val="24"/>
        </w:rPr>
        <w:t>4. Síntesis</w:t>
      </w:r>
    </w:p>
    <w:p w14:paraId="1B6DE1F3" w14:textId="77777777" w:rsidR="00903152" w:rsidRDefault="00000000" w:rsidP="00903152">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 MARIAH es un instrumento de clasificación de riesgo con fundamento normativo y teórico, cuyas reglas se adoptaron en la elaboración de la matriz a partir del referencial normativo y de la literatura sistematizada en la Guía, con decisiones conservadoras explícitas (regla del máximo en la Versión A; Cláusula de Primacía Ética que eleva obligatoriamente al Nivel IV en la Versión B). </w:t>
      </w:r>
    </w:p>
    <w:p w14:paraId="44EACED4" w14:textId="77777777" w:rsidR="00903152" w:rsidRDefault="00903152" w:rsidP="00903152">
      <w:pPr>
        <w:spacing w:after="120" w:line="360" w:lineRule="auto"/>
        <w:ind w:firstLine="720"/>
        <w:jc w:val="both"/>
      </w:pPr>
      <w:r>
        <w:rPr>
          <w:rFonts w:ascii="Times New Roman" w:hAnsi="Times New Roman" w:cs="Times New Roman"/>
          <w:sz w:val="24"/>
          <w:szCs w:val="24"/>
        </w:rPr>
        <w:t>La escala es ordinal, y su validación psicométrica es prospectiva, a cargo de los CEPs que adopten el instrumento, en los términos de la Sección de Validación Local (documento MARIAH). Los tres frentes propuestos — confiabilidad interevaluador, distribución empírica y convergencia entre versiones — constituyen el núcleo mínimo de evidencia empírica para futuras revisiones del instrumento.</w:t>
      </w:r>
    </w:p>
    <w:p w14:paraId="26862DEF" w14:textId="77777777" w:rsidR="002214C8" w:rsidRPr="00903152" w:rsidRDefault="00000000" w:rsidP="00903152">
      <w:pPr>
        <w:spacing w:after="120" w:line="360" w:lineRule="auto"/>
        <w:jc w:val="both"/>
        <w:rPr>
          <w:rFonts w:ascii="Times New Roman" w:hAnsi="Times New Roman" w:cs="Times New Roman"/>
          <w:sz w:val="24"/>
          <w:szCs w:val="24"/>
        </w:rPr>
      </w:pPr>
      <w:r>
        <w:rPr>
          <w:rFonts w:ascii="Times New Roman" w:hAnsi="Times New Roman" w:cs="Times New Roman"/>
          <w:i/>
          <w:iCs/>
          <w:sz w:val="24"/>
          <w:szCs w:val="24"/>
        </w:rPr>
        <w:t>Las observaciones y críticas técnicas pueden enviarse, en cualquier momento, a la CGREP (cgrep@saude.gov.br) y se considerarán en ciclos futuros de revisión de la Guía y de la matriz.</w:t>
      </w:r>
    </w:p>
    <w:sectPr w:rsidR="002214C8" w:rsidRPr="0090315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E5F4" w14:textId="77777777" w:rsidR="00B134D8" w:rsidRDefault="00B134D8">
      <w:r>
        <w:separator/>
      </w:r>
    </w:p>
  </w:endnote>
  <w:endnote w:type="continuationSeparator" w:id="0">
    <w:p w14:paraId="5E98A523" w14:textId="77777777" w:rsidR="00B134D8" w:rsidRDefault="00B13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78A5" w14:textId="77777777" w:rsidR="002214C8" w:rsidRDefault="00000000">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9C4836">
      <w:rPr>
        <w:noProof/>
        <w:color w:val="6B7280"/>
        <w:sz w:val="16"/>
        <w:szCs w:val="16"/>
      </w:rPr>
      <w:t>1</w:t>
    </w:r>
    <w:r>
      <w:rPr>
        <w:color w:val="6B7280"/>
        <w:sz w:val="16"/>
        <w:szCs w:val="16"/>
      </w:rPr>
      <w:fldChar w:fldCharType="end"/>
    </w:r>
    <w:r>
      <w:rPr>
        <w:color w:val="6B7280"/>
        <w:sz w:val="16"/>
        <w:szCs w:val="16"/>
      </w:rPr>
      <w:t xml:space="preserve"> · GT INAEP · Ministerio de Salud de Brasil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495E" w14:textId="77777777" w:rsidR="00B134D8" w:rsidRDefault="00B134D8">
      <w:r>
        <w:separator/>
      </w:r>
    </w:p>
  </w:footnote>
  <w:footnote w:type="continuationSeparator" w:id="0">
    <w:p w14:paraId="539DD887" w14:textId="77777777" w:rsidR="00B134D8" w:rsidRDefault="00B13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4F33" w14:textId="77777777" w:rsidR="002214C8" w:rsidRDefault="00000000">
    <w:pPr>
      <w:jc w:val="right"/>
    </w:pPr>
    <w:r>
      <w:rPr>
        <w:i/>
        <w:iCs/>
        <w:color w:val="6B7280"/>
        <w:sz w:val="16"/>
        <w:szCs w:val="16"/>
      </w:rPr>
      <w:t>MARIAH — Nota técnica · Premisas metodológicas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B5C"/>
    <w:multiLevelType w:val="hybridMultilevel"/>
    <w:tmpl w:val="B06A5D6C"/>
    <w:lvl w:ilvl="0" w:tplc="76D40EF8">
      <w:start w:val="1"/>
      <w:numFmt w:val="bullet"/>
      <w:lvlText w:val="●"/>
      <w:lvlJc w:val="left"/>
      <w:pPr>
        <w:ind w:left="720" w:hanging="360"/>
      </w:pPr>
    </w:lvl>
    <w:lvl w:ilvl="1" w:tplc="81005CAC">
      <w:start w:val="1"/>
      <w:numFmt w:val="bullet"/>
      <w:lvlText w:val="○"/>
      <w:lvlJc w:val="left"/>
      <w:pPr>
        <w:ind w:left="1440" w:hanging="360"/>
      </w:pPr>
    </w:lvl>
    <w:lvl w:ilvl="2" w:tplc="AE1CE924">
      <w:start w:val="1"/>
      <w:numFmt w:val="bullet"/>
      <w:lvlText w:val="■"/>
      <w:lvlJc w:val="left"/>
      <w:pPr>
        <w:ind w:left="2160" w:hanging="360"/>
      </w:pPr>
    </w:lvl>
    <w:lvl w:ilvl="3" w:tplc="9072E5DA">
      <w:start w:val="1"/>
      <w:numFmt w:val="bullet"/>
      <w:lvlText w:val="●"/>
      <w:lvlJc w:val="left"/>
      <w:pPr>
        <w:ind w:left="2880" w:hanging="360"/>
      </w:pPr>
    </w:lvl>
    <w:lvl w:ilvl="4" w:tplc="8A5A26A0">
      <w:start w:val="1"/>
      <w:numFmt w:val="bullet"/>
      <w:lvlText w:val="○"/>
      <w:lvlJc w:val="left"/>
      <w:pPr>
        <w:ind w:left="3600" w:hanging="360"/>
      </w:pPr>
    </w:lvl>
    <w:lvl w:ilvl="5" w:tplc="4D04F018">
      <w:start w:val="1"/>
      <w:numFmt w:val="bullet"/>
      <w:lvlText w:val="■"/>
      <w:lvlJc w:val="left"/>
      <w:pPr>
        <w:ind w:left="4320" w:hanging="360"/>
      </w:pPr>
    </w:lvl>
    <w:lvl w:ilvl="6" w:tplc="6CF21F5C">
      <w:start w:val="1"/>
      <w:numFmt w:val="bullet"/>
      <w:lvlText w:val="●"/>
      <w:lvlJc w:val="left"/>
      <w:pPr>
        <w:ind w:left="5040" w:hanging="360"/>
      </w:pPr>
    </w:lvl>
    <w:lvl w:ilvl="7" w:tplc="7B24AB7A">
      <w:start w:val="1"/>
      <w:numFmt w:val="bullet"/>
      <w:lvlText w:val="●"/>
      <w:lvlJc w:val="left"/>
      <w:pPr>
        <w:ind w:left="5760" w:hanging="360"/>
      </w:pPr>
    </w:lvl>
    <w:lvl w:ilvl="8" w:tplc="EAFA1460">
      <w:start w:val="1"/>
      <w:numFmt w:val="bullet"/>
      <w:lvlText w:val="●"/>
      <w:lvlJc w:val="left"/>
      <w:pPr>
        <w:ind w:left="6480" w:hanging="360"/>
      </w:pPr>
    </w:lvl>
  </w:abstractNum>
  <w:abstractNum w:abstractNumId="1" w15:restartNumberingAfterBreak="0">
    <w:nsid w:val="23900E27"/>
    <w:multiLevelType w:val="hybridMultilevel"/>
    <w:tmpl w:val="2E281AA8"/>
    <w:lvl w:ilvl="0" w:tplc="F7BC91B6">
      <w:start w:val="1"/>
      <w:numFmt w:val="bullet"/>
      <w:lvlText w:val="•"/>
      <w:lvlJc w:val="left"/>
      <w:pPr>
        <w:ind w:left="540" w:hanging="270"/>
      </w:pPr>
    </w:lvl>
    <w:lvl w:ilvl="1" w:tplc="7AC449E4">
      <w:numFmt w:val="decimal"/>
      <w:lvlText w:val=""/>
      <w:lvlJc w:val="left"/>
    </w:lvl>
    <w:lvl w:ilvl="2" w:tplc="1C16F5CA">
      <w:numFmt w:val="decimal"/>
      <w:lvlText w:val=""/>
      <w:lvlJc w:val="left"/>
    </w:lvl>
    <w:lvl w:ilvl="3" w:tplc="E7EA9A9A">
      <w:numFmt w:val="decimal"/>
      <w:lvlText w:val=""/>
      <w:lvlJc w:val="left"/>
    </w:lvl>
    <w:lvl w:ilvl="4" w:tplc="7D524584">
      <w:numFmt w:val="decimal"/>
      <w:lvlText w:val=""/>
      <w:lvlJc w:val="left"/>
    </w:lvl>
    <w:lvl w:ilvl="5" w:tplc="3C305F6C">
      <w:numFmt w:val="decimal"/>
      <w:lvlText w:val=""/>
      <w:lvlJc w:val="left"/>
    </w:lvl>
    <w:lvl w:ilvl="6" w:tplc="38F0D2B0">
      <w:numFmt w:val="decimal"/>
      <w:lvlText w:val=""/>
      <w:lvlJc w:val="left"/>
    </w:lvl>
    <w:lvl w:ilvl="7" w:tplc="2EE8C5B6">
      <w:numFmt w:val="decimal"/>
      <w:lvlText w:val=""/>
      <w:lvlJc w:val="left"/>
    </w:lvl>
    <w:lvl w:ilvl="8" w:tplc="6A107898">
      <w:numFmt w:val="decimal"/>
      <w:lvlText w:val=""/>
      <w:lvlJc w:val="left"/>
    </w:lvl>
  </w:abstractNum>
  <w:num w:numId="1" w16cid:durableId="349067423">
    <w:abstractNumId w:val="0"/>
    <w:lvlOverride w:ilvl="0">
      <w:startOverride w:val="1"/>
    </w:lvlOverride>
  </w:num>
  <w:num w:numId="2" w16cid:durableId="1269779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4C8"/>
    <w:rsid w:val="00160964"/>
    <w:rsid w:val="002214C8"/>
    <w:rsid w:val="005C596F"/>
    <w:rsid w:val="00621974"/>
    <w:rsid w:val="007A10A5"/>
    <w:rsid w:val="007F1C28"/>
    <w:rsid w:val="00816AEB"/>
    <w:rsid w:val="008A5680"/>
    <w:rsid w:val="00903152"/>
    <w:rsid w:val="00935DC8"/>
    <w:rsid w:val="00996086"/>
    <w:rsid w:val="009C4836"/>
    <w:rsid w:val="009E0D48"/>
    <w:rsid w:val="00B134D8"/>
    <w:rsid w:val="00BA7E35"/>
    <w:rsid w:val="00FE655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0D3A2BD1"/>
  <w15:docId w15:val="{D19C32CD-FC26-FA41-8414-E4956A81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F766E"/>
      <w:sz w:val="26"/>
      <w:szCs w:val="26"/>
    </w:rPr>
  </w:style>
  <w:style w:type="paragraph" w:styleId="Heading2">
    <w:name w:val="heading 2"/>
    <w:uiPriority w:val="9"/>
    <w:unhideWhenUsed/>
    <w:qFormat/>
    <w:pPr>
      <w:spacing w:before="180" w:after="90"/>
      <w:outlineLvl w:val="1"/>
    </w:pPr>
    <w:rPr>
      <w:b/>
      <w:bCs/>
      <w:color w:val="1F29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1213</Words>
  <Characters>6652</Characters>
  <Application>Microsoft Office Word</Application>
  <DocSecurity>0</DocSecurity>
  <Lines>117</Lines>
  <Paragraphs>47</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Premissas metodológicas da classificação de risco da MARIAH</dc:title>
  <dc:creator>MARIAH / GT INAEP</dc:creator>
  <dc:description>Nota técnica para apreciação estatística</dc:description>
  <cp:lastModifiedBy>Fabiano Tonaco Borges</cp:lastModifiedBy>
  <cp:revision>2</cp:revision>
  <dcterms:created xsi:type="dcterms:W3CDTF">2026-06-14T20:25:00Z</dcterms:created>
  <dcterms:modified xsi:type="dcterms:W3CDTF">2026-06-14T20:25:00Z</dcterms:modified>
</cp:coreProperties>
</file>