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7F90E"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color w:val="6B7280"/>
          <w:sz w:val="24"/>
          <w:szCs w:val="24"/>
        </w:rPr>
        <w:t>Suplemento a la Nota Técnica de Premisas</w:t>
      </w:r>
    </w:p>
    <w:p w14:paraId="2D3A66E1" w14:textId="77777777" w:rsidR="00973582" w:rsidRPr="00F330B8" w:rsidRDefault="00000000" w:rsidP="00F330B8">
      <w:pPr>
        <w:spacing w:after="40" w:line="360" w:lineRule="auto"/>
        <w:contextualSpacing/>
        <w:jc w:val="both"/>
        <w:rPr>
          <w:rFonts w:ascii="Times New Roman" w:hAnsi="Times New Roman" w:cs="Times New Roman"/>
          <w:sz w:val="24"/>
          <w:szCs w:val="24"/>
        </w:rPr>
      </w:pPr>
      <w:r>
        <w:rPr>
          <w:rFonts w:ascii="Times New Roman" w:hAnsi="Times New Roman" w:cs="Times New Roman"/>
          <w:b/>
          <w:bCs/>
          <w:color w:val="0F766E"/>
          <w:sz w:val="24"/>
          <w:szCs w:val="24"/>
        </w:rPr>
        <w:t xml:space="preserve">Mecanismos de salvaguarda automática en la MARIAH </w:t>
      </w:r>
    </w:p>
    <w:p w14:paraId="34898295" w14:textId="77777777" w:rsidR="00973582" w:rsidRPr="00F330B8" w:rsidRDefault="00000000" w:rsidP="00F330B8">
      <w:pPr>
        <w:spacing w:after="200" w:line="360" w:lineRule="auto"/>
        <w:contextualSpacing/>
        <w:jc w:val="both"/>
        <w:rPr>
          <w:rFonts w:ascii="Times New Roman" w:hAnsi="Times New Roman" w:cs="Times New Roman"/>
          <w:sz w:val="24"/>
          <w:szCs w:val="24"/>
        </w:rPr>
      </w:pPr>
      <w:r>
        <w:rPr>
          <w:rFonts w:ascii="Times New Roman" w:hAnsi="Times New Roman" w:cs="Times New Roman"/>
          <w:color w:val="6B7280"/>
          <w:sz w:val="24"/>
          <w:szCs w:val="24"/>
        </w:rPr>
        <w:t>MARIAH Matriz de Evaluación de Riesgo en Inteligencia Artificial en Investigación con Seres Humanos · Versión preliminar · Julio de 2026</w:t>
      </w:r>
    </w:p>
    <w:p w14:paraId="34898295" w14:textId="77777777" w:rsidR="00973582" w:rsidRPr="00F330B8" w:rsidRDefault="00000000" w:rsidP="00F330B8">
      <w:pPr>
        <w:spacing w:after="200" w:line="360" w:lineRule="auto"/>
        <w:contextualSpacing/>
        <w:jc w:val="both"/>
        <w:rPr>
          <w:rFonts w:ascii="Times New Roman" w:hAnsi="Times New Roman" w:cs="Times New Roman"/>
          <w:sz w:val="24"/>
          <w:szCs w:val="24"/>
        </w:rPr>
      </w:pPr>
      <w:r>
        <w:rPr>
          <w:rFonts w:ascii="Times New Roman" w:hAnsi="Times New Roman" w:cs="Times New Roman"/>
          <w:color w:val="6B7280"/>
          <w:i/>
          <w:sz w:val="18"/>
          <w:szCs w:val="18"/>
        </w:rPr>
        <w:t>Esta es una traducción de cortesía. La versión normativa vigente es la versión en portugués (pt-BR).</w:t>
      </w:r>
    </w:p>
    <w:p w14:paraId="1A63547D" w14:textId="77777777" w:rsidR="00973582" w:rsidRPr="00F330B8" w:rsidRDefault="00F330B8" w:rsidP="00F330B8">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Este suplemento explica los cuatro mecanismos de salvaguarda automática de la MARIAH, que ignoran la lógica de gradiente del instrumento y obligan a elevar o a rechazar la clasificación con base en una condición categórica. El texto es técnico, dirigido a las y los integrantes del Grupo de Trabajo, y puede leerse de forma aislada o insertarse como sección de la Nota Técnica de Premisas. Amplía la versión anterior, que cubría solo el disparador del Eje 3.b.</w:t>
      </w:r>
    </w:p>
    <w:p w14:paraId="6FAD0863" w14:textId="77777777" w:rsidR="00973582" w:rsidRPr="00F330B8" w:rsidRDefault="00000000" w:rsidP="00F330B8">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 Por qué la MARIAH adopta salvaguardas</w:t>
      </w:r>
    </w:p>
    <w:p w14:paraId="5C27BB05" w14:textId="77777777" w:rsidR="00973582" w:rsidRPr="00F330B8" w:rsidRDefault="00000000" w:rsidP="00F330B8">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En ambas versiones, la MARIAH parte de una lógica de gradiente: el riesgo del protocolo crece de forma incremental, ya sea con el número de respuestas de riesgo por eje (Versión A), ya sea con la suma de puntos entre bloques (Versión B). Sobre esa lógica de gradiente, la matriz superpone cuatro mecanismos que la interrumpen: una vez satisfecha determinada condición, la clasificación se define por un criterio deontológico, y no estadístico, que sobrescribe lo que indicarían el conteo o la suma.</w:t>
      </w:r>
    </w:p>
    <w:p w14:paraId="7B3E8ECC" w14:textId="77777777" w:rsidR="00973582" w:rsidRPr="00F330B8" w:rsidRDefault="00000000" w:rsidP="00D022B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La razón es sustantiva, porque ciertas condiciones éticas no se manifiestan en gradiente: su simple presencia ya es decisiva. </w:t>
      </w:r>
      <w:r>
        <w:rPr>
          <w:rFonts w:ascii="Times New Roman" w:hAnsi="Times New Roman" w:cs="Times New Roman"/>
          <w:sz w:val="24"/>
          <w:szCs w:val="24"/>
          <w:u w:val="single"/>
        </w:rPr>
        <w:t>No existe, en la práctica, una «violación moderada de la confidencialidad», un «consentimiento parcialmente válido» ni un «daño irreversible de poca monta».</w:t>
      </w:r>
      <w:r>
        <w:rPr>
          <w:rFonts w:ascii="Times New Roman" w:hAnsi="Times New Roman" w:cs="Times New Roman"/>
          <w:sz w:val="24"/>
          <w:szCs w:val="24"/>
        </w:rPr>
        <w:t xml:space="preserve"> Tratar esas condiciones por la media o por la suma las diluiría en puntuaciones agregadas, justamente donde el instrumento necesita ser más sensible. Los cuatro disparadores son, por lo tanto, salvaguardas de precaución: asimetrías asumidas como tales, que prefieren clasificar de más antes que dejar pasar de menos.</w:t>
      </w:r>
    </w:p>
    <w:p w14:paraId="29F91C1A" w14:textId="77777777" w:rsidR="00973582" w:rsidRPr="00F330B8" w:rsidRDefault="00000000" w:rsidP="00D022B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Los cuatro mecanismos comparten la misma estructura (una condición categórica que, una vez cumplida, prevalece sobre el gradiente), pero actúan en puntos distintos del instrumento, según la Tabla 1.</w:t>
      </w:r>
    </w:p>
    <w:p w14:paraId="54B7CBD0" w14:textId="77777777" w:rsidR="00D022B7" w:rsidRDefault="00D022B7" w:rsidP="00F330B8">
      <w:pPr>
        <w:pStyle w:val="Heading2"/>
        <w:spacing w:before="120" w:after="60" w:line="360" w:lineRule="auto"/>
        <w:contextualSpacing/>
        <w:jc w:val="both"/>
        <w:rPr>
          <w:rFonts w:ascii="Times New Roman" w:hAnsi="Times New Roman" w:cs="Times New Roman"/>
          <w:sz w:val="24"/>
          <w:szCs w:val="24"/>
        </w:rPr>
      </w:pPr>
    </w:p>
    <w:p w14:paraId="2A12D783" w14:textId="77777777" w:rsidR="00D022B7" w:rsidRDefault="00D022B7" w:rsidP="00F330B8">
      <w:pPr>
        <w:pStyle w:val="Heading2"/>
        <w:spacing w:before="120" w:after="60" w:line="360" w:lineRule="auto"/>
        <w:contextualSpacing/>
        <w:jc w:val="both"/>
        <w:rPr>
          <w:rFonts w:ascii="Times New Roman" w:hAnsi="Times New Roman" w:cs="Times New Roman"/>
          <w:sz w:val="24"/>
          <w:szCs w:val="24"/>
        </w:rPr>
      </w:pPr>
    </w:p>
    <w:p w14:paraId="2FE2741D" w14:textId="77777777" w:rsidR="00D022B7" w:rsidRDefault="00D022B7" w:rsidP="00F330B8">
      <w:pPr>
        <w:pStyle w:val="Heading2"/>
        <w:spacing w:before="120" w:after="60" w:line="360" w:lineRule="auto"/>
        <w:contextualSpacing/>
        <w:jc w:val="both"/>
        <w:rPr>
          <w:rFonts w:ascii="Times New Roman" w:hAnsi="Times New Roman" w:cs="Times New Roman"/>
          <w:sz w:val="24"/>
          <w:szCs w:val="24"/>
        </w:rPr>
      </w:pPr>
    </w:p>
    <w:p w14:paraId="1D8D46DE" w14:textId="77777777" w:rsidR="00D022B7" w:rsidRDefault="00D022B7" w:rsidP="00F330B8">
      <w:pPr>
        <w:pStyle w:val="Heading2"/>
        <w:spacing w:before="120" w:after="60" w:line="360" w:lineRule="auto"/>
        <w:contextualSpacing/>
        <w:jc w:val="both"/>
        <w:rPr>
          <w:rFonts w:ascii="Times New Roman" w:hAnsi="Times New Roman" w:cs="Times New Roman"/>
          <w:sz w:val="24"/>
          <w:szCs w:val="24"/>
        </w:rPr>
      </w:pPr>
    </w:p>
    <w:p w14:paraId="4FE46D51" w14:textId="77777777" w:rsidR="00D022B7" w:rsidRDefault="00D022B7" w:rsidP="00F330B8">
      <w:pPr>
        <w:pStyle w:val="Heading2"/>
        <w:spacing w:before="120" w:after="60" w:line="360" w:lineRule="auto"/>
        <w:contextualSpacing/>
        <w:jc w:val="both"/>
        <w:rPr>
          <w:rFonts w:ascii="Times New Roman" w:hAnsi="Times New Roman" w:cs="Times New Roman"/>
          <w:sz w:val="24"/>
          <w:szCs w:val="24"/>
        </w:rPr>
      </w:pPr>
    </w:p>
    <w:p w14:paraId="09429EE3" w14:textId="77777777" w:rsidR="00D022B7" w:rsidRDefault="00D022B7" w:rsidP="00F330B8">
      <w:pPr>
        <w:pStyle w:val="Heading2"/>
        <w:spacing w:before="120" w:after="60" w:line="360" w:lineRule="auto"/>
        <w:contextualSpacing/>
        <w:jc w:val="both"/>
        <w:rPr>
          <w:rFonts w:ascii="Times New Roman" w:hAnsi="Times New Roman" w:cs="Times New Roman"/>
          <w:sz w:val="24"/>
          <w:szCs w:val="24"/>
        </w:rPr>
      </w:pPr>
    </w:p>
    <w:p w14:paraId="5BD61180" w14:textId="77777777" w:rsidR="00973582" w:rsidRPr="00F330B8" w:rsidRDefault="00000000" w:rsidP="003E0989">
      <w:pPr>
        <w:pStyle w:val="Heading2"/>
        <w:spacing w:before="120" w:after="60" w:line="360" w:lineRule="auto"/>
        <w:contextualSpacing/>
        <w:jc w:val="center"/>
        <w:rPr>
          <w:rFonts w:ascii="Times New Roman" w:hAnsi="Times New Roman" w:cs="Times New Roman"/>
          <w:sz w:val="24"/>
          <w:szCs w:val="24"/>
        </w:rPr>
      </w:pPr>
      <w:r>
        <w:rPr>
          <w:rFonts w:ascii="Times New Roman" w:hAnsi="Times New Roman" w:cs="Times New Roman"/>
          <w:sz w:val="24"/>
          <w:szCs w:val="24"/>
        </w:rPr>
        <w:t>Tabla 1 Visión general de los cuatro disparadores de salvaguarda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1513"/>
        <w:gridCol w:w="2366"/>
        <w:gridCol w:w="2639"/>
      </w:tblGrid>
      <w:tr w:rsidR="00973582" w:rsidRPr="00F330B8" w14:paraId="391146A6" w14:textId="77777777" w:rsidTr="00D022B7">
        <w:trPr>
          <w:tblHeader/>
        </w:trPr>
        <w:tc>
          <w:tcPr>
            <w:tcW w:w="25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3E6A4DB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Disparador</w:t>
            </w:r>
          </w:p>
        </w:tc>
        <w:tc>
          <w:tcPr>
            <w:tcW w:w="151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0F335240"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Versión</w:t>
            </w:r>
          </w:p>
        </w:tc>
        <w:tc>
          <w:tcPr>
            <w:tcW w:w="236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3EE717A6"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Condición de activación</w:t>
            </w:r>
          </w:p>
        </w:tc>
        <w:tc>
          <w:tcPr>
            <w:tcW w:w="263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4283103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Efecto sobre la clasificación</w:t>
            </w:r>
          </w:p>
        </w:tc>
      </w:tr>
      <w:tr w:rsidR="00973582" w:rsidRPr="00F330B8" w14:paraId="68AD9EAA" w14:textId="77777777" w:rsidTr="00D022B7">
        <w:tc>
          <w:tcPr>
            <w:tcW w:w="2508"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6D02B24"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 Regla especial del Eje 3.b (Salvaguarda de la Res. 738/2024)</w:t>
            </w:r>
          </w:p>
        </w:tc>
        <w:tc>
          <w:tcPr>
            <w:tcW w:w="1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B13DFF0"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 (cualitativa)</w:t>
            </w:r>
          </w:p>
        </w:tc>
        <w:tc>
          <w:tcPr>
            <w:tcW w:w="236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482EE8E"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 o más respuestas de riesgo en el Eje 3.b</w:t>
            </w:r>
          </w:p>
        </w:tc>
        <w:tc>
          <w:tcPr>
            <w:tcW w:w="2639"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E06746F"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El eje salta el Nivel II (1–2 → III; 3+ → IV); por la regla del máximo, eleva el nivel final</w:t>
            </w:r>
          </w:p>
        </w:tc>
      </w:tr>
      <w:tr w:rsidR="00973582" w:rsidRPr="00F330B8" w14:paraId="2646D9C3" w14:textId="77777777" w:rsidTr="00D022B7">
        <w:tc>
          <w:tcPr>
            <w:tcW w:w="2508"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7ACBF84"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 Cláusula de Primacía Ética (Salvaguarda Decisoria)</w:t>
            </w:r>
          </w:p>
        </w:tc>
        <w:tc>
          <w:tcPr>
            <w:tcW w:w="1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93C0A09"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B (cuantitativa)</w:t>
            </w:r>
          </w:p>
        </w:tc>
        <w:tc>
          <w:tcPr>
            <w:tcW w:w="236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F59E85E"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P4.1 o P4.2 = «Sí»</w:t>
            </w:r>
          </w:p>
        </w:tc>
        <w:tc>
          <w:tcPr>
            <w:tcW w:w="2639"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734239B"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Eleva obligatoriamente al Nivel IV, sobrescribiendo la suma total de los bloques</w:t>
            </w:r>
          </w:p>
        </w:tc>
      </w:tr>
      <w:tr w:rsidR="00973582" w:rsidRPr="00F330B8" w14:paraId="29D1C5D0" w14:textId="77777777" w:rsidTr="00D022B7">
        <w:tc>
          <w:tcPr>
            <w:tcW w:w="2508"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71CC94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 Eliminatoria de cadena de custodia (Salvaguarda de Inevaluabilidad — Res. 738/2024)</w:t>
            </w:r>
          </w:p>
        </w:tc>
        <w:tc>
          <w:tcPr>
            <w:tcW w:w="1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61C46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 y B</w:t>
            </w:r>
          </w:p>
        </w:tc>
        <w:tc>
          <w:tcPr>
            <w:tcW w:w="236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FB7FAE2"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Ausencia de cadena de custodia formalizada de los datos</w:t>
            </w:r>
          </w:p>
        </w:tc>
        <w:tc>
          <w:tcPr>
            <w:tcW w:w="2639"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0207FBF"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Clasifica el protocolo como «no evaluable por la MARIAH»</w:t>
            </w:r>
          </w:p>
        </w:tc>
      </w:tr>
      <w:tr w:rsidR="00973582" w:rsidRPr="00F330B8" w14:paraId="5A000001" w14:textId="77777777" w:rsidTr="00D022B7">
        <w:tc>
          <w:tcPr>
            <w:tcW w:w="2508"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000002"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 Diligencia impeditiva de nuevo consentimiento (Ley 14.874/2024 + LGPD)</w:t>
            </w:r>
          </w:p>
        </w:tc>
        <w:tc>
          <w:tcPr>
            <w:tcW w:w="1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00000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 y B</w:t>
            </w:r>
          </w:p>
        </w:tc>
        <w:tc>
          <w:tcPr>
            <w:tcW w:w="236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000004"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Sistema adaptativo (1.2 / P2.2 = Sí) sin plan de nuevo consentimiento</w:t>
            </w:r>
          </w:p>
        </w:tc>
        <w:tc>
          <w:tcPr>
            <w:tcW w:w="2639"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000005"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Clasifica el protocolo como «no evaluable por la MARIAH»</w:t>
            </w:r>
          </w:p>
        </w:tc>
      </w:tr>
    </w:tbl>
    <w:p w14:paraId="6F9E86F7" w14:textId="77777777" w:rsidR="00120BC4" w:rsidRDefault="00000000">
      <w:pPr>
        <w:spacing w:after="120"/>
        <w:jc w:val="both"/>
      </w:pPr>
      <w:r>
        <w:rPr>
          <w:rFonts w:ascii="Times New Roman" w:hAnsi="Times New Roman"/>
          <w:i/>
          <w:sz w:val="24"/>
        </w:rPr>
        <w:t>Las secciones siguientes detallan cada disparador. Los dos primeros reciben un tratamiento completo: qué hace, por qué lo hace, cómo interactúa con la matriz, escenarios y crítica honesta. Los dos últimos, por ser salidas categoriales distintas, se presentan en conjunto.</w:t>
      </w:r>
    </w:p>
    <w:p w14:paraId="2FAC99BB" w14:textId="77777777" w:rsidR="00D022B7" w:rsidRDefault="00D022B7" w:rsidP="00F330B8">
      <w:pPr>
        <w:pStyle w:val="Heading1"/>
        <w:spacing w:line="360" w:lineRule="auto"/>
        <w:contextualSpacing/>
        <w:jc w:val="both"/>
        <w:rPr>
          <w:rFonts w:ascii="Times New Roman" w:hAnsi="Times New Roman" w:cs="Times New Roman"/>
          <w:sz w:val="24"/>
          <w:szCs w:val="24"/>
        </w:rPr>
      </w:pPr>
    </w:p>
    <w:p w14:paraId="0B927946" w14:textId="77777777" w:rsidR="00973582" w:rsidRPr="00F330B8" w:rsidRDefault="00000000" w:rsidP="00F330B8">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 Disparador 1 Regla especial del Eje 3.b (Res. CNS n.º 738/2024), Versión A</w:t>
      </w:r>
    </w:p>
    <w:p w14:paraId="0D4319D8" w14:textId="77777777" w:rsidR="00973582" w:rsidRPr="00F330B8" w:rsidRDefault="00000000" w:rsidP="00D022B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El Eje 3.b está condicionado a la aplicación de la Resolución CNS n.º 738/2024 sobre bancos de datos de investigación. Su regla de consolidación difiere de la utilizada en los demás ejes y, por eso, merece una explicación sustantiva.</w:t>
      </w:r>
    </w:p>
    <w:p w14:paraId="62433BC6"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2.1 Qué establece la regla</w:t>
      </w:r>
    </w:p>
    <w:p w14:paraId="4858FFA2" w14:textId="77777777" w:rsidR="00973582" w:rsidRPr="00F330B8" w:rsidRDefault="00000000" w:rsidP="00D022B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La regla del Eje 3.b opera según la Tabla 2. La comparación con la regla estándar de los demás ejes (Ejes 1, 2, 3, 4 y 5) figura en la Tabla 3.</w:t>
      </w:r>
    </w:p>
    <w:p w14:paraId="1953C87D" w14:textId="77777777" w:rsidR="00973582" w:rsidRPr="00F330B8" w:rsidRDefault="00000000" w:rsidP="00D022B7">
      <w:pPr>
        <w:pStyle w:val="Heading2"/>
        <w:spacing w:before="120" w:after="60" w:line="360" w:lineRule="auto"/>
        <w:contextualSpacing/>
        <w:jc w:val="center"/>
        <w:rPr>
          <w:rFonts w:ascii="Times New Roman" w:hAnsi="Times New Roman" w:cs="Times New Roman"/>
          <w:sz w:val="24"/>
          <w:szCs w:val="24"/>
        </w:rPr>
      </w:pPr>
      <w:r>
        <w:rPr>
          <w:rFonts w:ascii="Times New Roman" w:hAnsi="Times New Roman" w:cs="Times New Roman"/>
          <w:sz w:val="24"/>
          <w:szCs w:val="24"/>
        </w:rPr>
        <w:t>Tabla 2 Regla del Eje 3.b (Res. CNS n.º 738/2024)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73582" w:rsidRPr="00F330B8" w14:paraId="2FA96309" w14:textId="77777777">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3E3F26B2"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Cantidad de respuestas de riesgo</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17BC58DA"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Nivel asignado al eje</w:t>
            </w:r>
          </w:p>
        </w:tc>
      </w:tr>
      <w:tr w:rsidR="00973582" w:rsidRPr="00F330B8" w14:paraId="3025FE6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04920D2"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07CD5E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w:t>
            </w:r>
          </w:p>
        </w:tc>
      </w:tr>
      <w:tr w:rsidR="00973582" w:rsidRPr="00F330B8" w14:paraId="5584188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C9E150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1 o 2</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798A1CE"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III (el Nivel II se salta deliberadamente)</w:t>
            </w:r>
          </w:p>
        </w:tc>
      </w:tr>
      <w:tr w:rsidR="00973582" w:rsidRPr="00F330B8" w14:paraId="2252911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7ADD1D4"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 o más</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257833C"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IV</w:t>
            </w:r>
          </w:p>
        </w:tc>
      </w:tr>
    </w:tbl>
    <w:p w14:paraId="54957979" w14:textId="77777777" w:rsidR="00555D69" w:rsidRDefault="00555D69" w:rsidP="00F330B8">
      <w:pPr>
        <w:pStyle w:val="Heading2"/>
        <w:spacing w:before="120" w:after="60" w:line="360" w:lineRule="auto"/>
        <w:contextualSpacing/>
        <w:jc w:val="both"/>
        <w:rPr>
          <w:rFonts w:ascii="Times New Roman" w:hAnsi="Times New Roman" w:cs="Times New Roman"/>
          <w:sz w:val="24"/>
          <w:szCs w:val="24"/>
        </w:rPr>
      </w:pPr>
    </w:p>
    <w:p w14:paraId="0561E76F" w14:textId="77777777" w:rsidR="00973582" w:rsidRPr="00F330B8" w:rsidRDefault="00000000" w:rsidP="00555D69">
      <w:pPr>
        <w:pStyle w:val="Heading2"/>
        <w:spacing w:before="120" w:after="60" w:line="360" w:lineRule="auto"/>
        <w:contextualSpacing/>
        <w:jc w:val="center"/>
        <w:rPr>
          <w:rFonts w:ascii="Times New Roman" w:hAnsi="Times New Roman" w:cs="Times New Roman"/>
          <w:sz w:val="24"/>
          <w:szCs w:val="24"/>
        </w:rPr>
      </w:pPr>
      <w:r>
        <w:rPr>
          <w:rFonts w:ascii="Times New Roman" w:hAnsi="Times New Roman" w:cs="Times New Roman"/>
          <w:sz w:val="24"/>
          <w:szCs w:val="24"/>
        </w:rPr>
        <w:t>Tabla 3 Regla estándar de los demás ejes (1, 2, 3, 4,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73582" w:rsidRPr="00F330B8" w14:paraId="6117263D" w14:textId="77777777">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17F843F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Cantidad de respuestas de riesgo</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2A5384B7"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Nivel asignado al eje</w:t>
            </w:r>
          </w:p>
        </w:tc>
      </w:tr>
      <w:tr w:rsidR="00973582" w:rsidRPr="00F330B8" w14:paraId="56E378D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022D01F"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297068F"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w:t>
            </w:r>
          </w:p>
        </w:tc>
      </w:tr>
      <w:tr w:rsidR="00973582" w:rsidRPr="00F330B8" w14:paraId="515B30D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FA072C0"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 o 2</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95F1FFD"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II</w:t>
            </w:r>
          </w:p>
        </w:tc>
      </w:tr>
      <w:tr w:rsidR="00973582" w:rsidRPr="00F330B8" w14:paraId="4648D93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26E3CD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 o 4</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A1FF00C"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III</w:t>
            </w:r>
          </w:p>
        </w:tc>
      </w:tr>
      <w:tr w:rsidR="00973582" w:rsidRPr="00F330B8" w14:paraId="10E6CAC9"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3C12F06"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5 o más</w:t>
            </w:r>
          </w:p>
        </w:tc>
        <w:tc>
          <w:tcPr>
            <w:tcW w:w="45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535ED8B"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IV</w:t>
            </w:r>
          </w:p>
        </w:tc>
      </w:tr>
    </w:tbl>
    <w:p w14:paraId="00FE39F8" w14:textId="77777777" w:rsidR="00555D69" w:rsidRDefault="00555D69" w:rsidP="00555D69">
      <w:pPr>
        <w:spacing w:after="120"/>
        <w:contextualSpacing/>
        <w:jc w:val="both"/>
        <w:rPr>
          <w:rFonts w:ascii="Times New Roman" w:hAnsi="Times New Roman" w:cs="Times New Roman"/>
          <w:sz w:val="24"/>
          <w:szCs w:val="24"/>
        </w:rPr>
      </w:pPr>
    </w:p>
    <w:p w14:paraId="3402945E" w14:textId="77777777" w:rsidR="00973582" w:rsidRPr="00F330B8" w:rsidRDefault="00000000" w:rsidP="00555D69">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La diferencia visible: en el Eje 3.b el Nivel II se salta deliberadamente. Una única respuesta de riesgo ya lleva el eje directamente al Nivel III.</w:t>
      </w:r>
    </w:p>
    <w:p w14:paraId="6202B99B" w14:textId="77777777" w:rsidR="00555D69" w:rsidRDefault="00555D69" w:rsidP="00F330B8">
      <w:pPr>
        <w:pStyle w:val="Heading2"/>
        <w:spacing w:line="360" w:lineRule="auto"/>
        <w:contextualSpacing/>
        <w:jc w:val="both"/>
        <w:rPr>
          <w:rFonts w:ascii="Times New Roman" w:hAnsi="Times New Roman" w:cs="Times New Roman"/>
          <w:sz w:val="24"/>
          <w:szCs w:val="24"/>
        </w:rPr>
      </w:pPr>
    </w:p>
    <w:p w14:paraId="1D976463"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2.2 Por qué esta diferencia: el argumento sustantivo</w:t>
      </w:r>
    </w:p>
    <w:p w14:paraId="53F2E981" w14:textId="77777777" w:rsidR="00973582" w:rsidRPr="00F330B8" w:rsidRDefault="00000000" w:rsidP="00555D69">
      <w:pPr>
        <w:spacing w:after="120" w:line="360" w:lineRule="auto"/>
        <w:ind w:firstLine="540"/>
        <w:contextualSpacing/>
        <w:jc w:val="both"/>
        <w:rPr>
          <w:rFonts w:ascii="Times New Roman" w:hAnsi="Times New Roman" w:cs="Times New Roman"/>
          <w:sz w:val="24"/>
          <w:szCs w:val="24"/>
        </w:rPr>
      </w:pPr>
      <w:r>
        <w:rPr>
          <w:rFonts w:ascii="Times New Roman" w:hAnsi="Times New Roman" w:cs="Times New Roman"/>
          <w:sz w:val="24"/>
          <w:szCs w:val="24"/>
        </w:rPr>
        <w:t>La Resolución CNS n.º 738/2024 regula la investigación que utiliza bancos de datos de investigación: reutilización de datos clínicos, historias clínicas, registros, cohortes y biobancos. Es una capa normativa más prescriptiva que las resoluciones generales (466/2012, 510/2016) porque los riesgos tienen una naturaleza cualitativamente distinta:</w:t>
      </w:r>
    </w:p>
    <w:p w14:paraId="28F4D4E7"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Privacidad y confidencialidad de datos identificables o potencialmente reidentificables.</w:t>
      </w:r>
    </w:p>
    <w:p w14:paraId="53986FFE"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Reutilización secundaria sin consentimiento específico (o con una dispensa que debe estar bien justificada).</w:t>
      </w:r>
    </w:p>
    <w:p w14:paraId="1A0D4775"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Discriminación algorítmica futura a partir de datos clínicos sensibles.</w:t>
      </w:r>
    </w:p>
    <w:p w14:paraId="0A7B015D"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Intercambio internacional y pérdida de gobernanza nacional sobre los datos.</w:t>
      </w:r>
    </w:p>
    <w:p w14:paraId="2BF0068E"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Persistencia temporal: a diferencia de un experimento que termina, un banco permanece y genera riesgos acumulativos a lo largo del tiempo.</w:t>
      </w:r>
    </w:p>
    <w:p w14:paraId="32385126" w14:textId="77777777" w:rsidR="00973582" w:rsidRPr="00F330B8" w:rsidRDefault="00000000" w:rsidP="00555D69">
      <w:pPr>
        <w:spacing w:after="120" w:line="360" w:lineRule="auto"/>
        <w:ind w:firstLine="540"/>
        <w:contextualSpacing/>
        <w:jc w:val="both"/>
        <w:rPr>
          <w:rFonts w:ascii="Times New Roman" w:hAnsi="Times New Roman" w:cs="Times New Roman"/>
          <w:sz w:val="24"/>
          <w:szCs w:val="24"/>
        </w:rPr>
      </w:pPr>
      <w:r>
        <w:rPr>
          <w:rFonts w:ascii="Times New Roman" w:hAnsi="Times New Roman" w:cs="Times New Roman"/>
          <w:sz w:val="24"/>
          <w:szCs w:val="24"/>
        </w:rPr>
        <w:t xml:space="preserve">Estos riesgos tienen una característica que justifica la regla excepcional: no se manifiestan en gradiente. O el banco se está gestionando dentro de los requisitos de la Res. 738 (ningún problema, riesgo bajo), o hay un problema concreto; y cuando lo hay, el riesgo ya es elevado, </w:t>
        <w:lastRenderedPageBreak/>
        <w:t>porque los daños potenciales (filtración, reidentificación, uso secundario no consentido) no admiten una categoría moderada. No existe, en la práctica, una «violación moderada de la confidencialidad» ni un «consentimiento parcialmente válido». La categoría intermedia («moderado») no tiene sentido analítico para este dominio.</w:t>
      </w:r>
    </w:p>
    <w:p w14:paraId="358DF74C" w14:textId="77777777" w:rsidR="00FB7BFF" w:rsidRDefault="00FB7BFF" w:rsidP="00F330B8">
      <w:pPr>
        <w:pStyle w:val="Heading2"/>
        <w:spacing w:line="360" w:lineRule="auto"/>
        <w:contextualSpacing/>
        <w:jc w:val="both"/>
        <w:rPr>
          <w:rFonts w:ascii="Times New Roman" w:hAnsi="Times New Roman" w:cs="Times New Roman"/>
          <w:sz w:val="24"/>
          <w:szCs w:val="24"/>
        </w:rPr>
      </w:pPr>
    </w:p>
    <w:p w14:paraId="2254E5F1"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2.3 Cómo interactúa la regla con la consolidación por máximo</w:t>
      </w:r>
    </w:p>
    <w:p w14:paraId="2E062565" w14:textId="77777777" w:rsidR="00973582" w:rsidRPr="00F330B8" w:rsidRDefault="00000000" w:rsidP="00FB7BFF">
      <w:pPr>
        <w:spacing w:after="120" w:line="360" w:lineRule="auto"/>
        <w:ind w:firstLine="540"/>
        <w:contextualSpacing/>
        <w:jc w:val="both"/>
        <w:rPr>
          <w:rFonts w:ascii="Times New Roman" w:hAnsi="Times New Roman" w:cs="Times New Roman"/>
          <w:sz w:val="24"/>
          <w:szCs w:val="24"/>
        </w:rPr>
      </w:pPr>
      <w:r>
        <w:rPr>
          <w:rFonts w:ascii="Times New Roman" w:hAnsi="Times New Roman" w:cs="Times New Roman"/>
          <w:sz w:val="24"/>
          <w:szCs w:val="24"/>
        </w:rPr>
        <w:t>La Versión A consolida el nivel final del protocolo por la regla del máximo: el nivel final es el más alto observado entre todos los ejes aplicables. En razón de esa interacción, la regla especial del Eje 3.b funciona, en la práctica, como un disparador de elevación:</w:t>
      </w:r>
    </w:p>
    <w:p w14:paraId="3CD55B2C"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Si el Eje 3.b devuelve el Nivel I, no eleva nada. Los demás ejes definen el nivel final normalmente.</w:t>
      </w:r>
    </w:p>
    <w:p w14:paraId="60178BC3"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Si el Eje 3.b devuelve el Nivel III por una única respuesta de riesgo, el protocolo entero se clasifica al menos en el Nivel III, aunque los otros cinco ejes estén en el Nivel I. Hay, en ese caso, un salto de dos niveles (I → III) activado por un único problema con el banco de datos.</w:t>
      </w:r>
    </w:p>
    <w:p w14:paraId="02599D72"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Si el Eje 3.b devuelve el Nivel IV (3 o más respuestas de riesgo), el protocolo se clasifica automáticamente en el Nivel IV.</w:t>
      </w:r>
    </w:p>
    <w:p w14:paraId="42F9DD94"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sz w:val="24"/>
          <w:szCs w:val="24"/>
        </w:rPr>
        <w:t>En otras palabras: cualquier problema concreto en el Eje 3.b lleva el protocolo a una revisión de alto riesgo, sin amortiguación. Es amplificación directa, no suavización gradual.</w:t>
      </w:r>
    </w:p>
    <w:p w14:paraId="06B65555"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2.4 Tres escenarios para concretar la regla</w:t>
      </w:r>
    </w:p>
    <w:p w14:paraId="1BF44AD7"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 xml:space="preserve">Escenario A: el protocolo usa banco, en conformidad con la Res. 738.</w:t>
      </w:r>
    </w:p>
    <w:p w14:paraId="05E7CCFC"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sz w:val="24"/>
          <w:szCs w:val="24"/>
        </w:rPr>
        <w:t>Eje 3.b: 0 respuestas de riesgo → Nivel I. El eje no eleva la clasificación. Los otros cinco ejes definen el nivel final según la regla estándar.</w:t>
      </w:r>
    </w:p>
    <w:p w14:paraId="28AF9FD6"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 xml:space="preserve">Escenario B: el protocolo usa banco, con 1 problema concreto.</w:t>
      </w:r>
    </w:p>
    <w:p w14:paraId="7493A8BC"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sz w:val="24"/>
          <w:szCs w:val="24"/>
        </w:rPr>
        <w:t>Ejemplo: dispensa de consentimiento adoptada sin justificación adecuada desde la perspectiva de la Res. 738. Eje 3.b: 1 respuesta de riesgo → Nivel III. Por la regla del máximo, el protocolo se clasifica al menos en el Nivel III, aunque los otros cinco ejes estén todos en el Nivel I. Un único problema en el Eje 3.b eleva el protocolo dos niveles (del I directamente al III).</w:t>
      </w:r>
    </w:p>
    <w:p w14:paraId="5FBD25E3"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 xml:space="preserve">Escenario C: el protocolo usa banco, con 3 o más problemas.</w:t>
      </w:r>
    </w:p>
    <w:p w14:paraId="76635D63" w14:textId="77777777" w:rsidR="00973582" w:rsidRPr="00F330B8" w:rsidRDefault="00000000" w:rsidP="00F330B8">
      <w:pPr>
        <w:spacing w:after="120" w:line="360" w:lineRule="auto"/>
        <w:contextualSpacing/>
        <w:jc w:val="both"/>
        <w:rPr>
          <w:rFonts w:ascii="Times New Roman" w:hAnsi="Times New Roman" w:cs="Times New Roman"/>
          <w:sz w:val="24"/>
          <w:szCs w:val="24"/>
        </w:rPr>
      </w:pPr>
      <w:r>
        <w:rPr>
          <w:rFonts w:ascii="Times New Roman" w:hAnsi="Times New Roman" w:cs="Times New Roman"/>
          <w:sz w:val="24"/>
          <w:szCs w:val="24"/>
        </w:rPr>
        <w:t>Eje 3.b: 3+ respuestas de riesgo → Nivel IV. Protocolo automáticamente en el Nivel IV (crítico), independientemente de los demás ejes.</w:t>
      </w:r>
    </w:p>
    <w:p w14:paraId="5D029CB1"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2.5 Crítica: lo que un lector técnico puede plantear</w:t>
      </w:r>
    </w:p>
    <w:p w14:paraId="48422A8F"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«¿Por qué 1 problema ya lleva al Nivel III? ¿No podría permanecer en el Nivel II o en el límite?» Podría, sí. La elección de saltar el Nivel II fue deontológica y conservadora, no estadística. Se prefiere clasificar de más antes que dejar pasar de menos.</w:t>
      </w:r>
    </w:p>
    <w:p w14:paraId="2D679E3F"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«¿Esto generará sobreclasificación?» Probablemente sí, en algún porcentaje. El Frente 2 de la Validación Local (distribución empírica en los niveles) es justamente el instrumento diseñado para detectar si la elevación está resultando desproporcionada en la casuística real de los CEPs.</w:t>
      </w:r>
    </w:p>
    <w:p w14:paraId="7B2E98BF"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«¿Por qué la elevación no es proporcional al riesgo material observado?» Porque la MARIAH, en esta etapa, no dispone de evidencia empírica que permita calibrar de forma proporcional. A falta de esa evidencia, se prefirió errar del lado de la mayor cautela, postura coherente con el resto de las decisiones metodológicas de la matriz.</w:t>
      </w:r>
    </w:p>
    <w:p w14:paraId="45A6CAA0" w14:textId="77777777" w:rsidR="00973582" w:rsidRPr="00F330B8" w:rsidRDefault="00000000" w:rsidP="00F330B8">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 Disparador 2 Cláusula de Primacía Ética, Versión B</w:t>
      </w:r>
    </w:p>
    <w:p w14:paraId="2AB843E7" w14:textId="77777777" w:rsidR="00973582" w:rsidRPr="00F330B8" w:rsidRDefault="00000000" w:rsidP="00C30793">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La Versión B es cuantitativa: la puntuación total del protocolo es la suma de las puntuaciones de siete bloques (modelo aditivo), y los puntos de corte definen el nivel final. La Cláusula de Primacía Ética es la excepción a esa aritmética.</w:t>
      </w:r>
    </w:p>
    <w:p w14:paraId="7A11BE58"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3.1 Qué establece la cláusula</w:t>
      </w:r>
    </w:p>
    <w:p w14:paraId="15C03679" w14:textId="77777777" w:rsidR="00973582" w:rsidRPr="00F330B8" w:rsidRDefault="00000000" w:rsidP="00C30793">
      <w:pPr>
        <w:spacing w:after="120" w:line="360" w:lineRule="auto"/>
        <w:ind w:firstLine="540"/>
        <w:contextualSpacing/>
        <w:jc w:val="both"/>
        <w:rPr>
          <w:rFonts w:ascii="Times New Roman" w:hAnsi="Times New Roman" w:cs="Times New Roman"/>
          <w:sz w:val="24"/>
          <w:szCs w:val="24"/>
        </w:rPr>
      </w:pPr>
      <w:r>
        <w:rPr>
          <w:rFonts w:ascii="Times New Roman" w:hAnsi="Times New Roman" w:cs="Times New Roman"/>
          <w:sz w:val="24"/>
          <w:szCs w:val="24"/>
        </w:rPr>
        <w:t xml:space="preserve">La cláusula opera sobre dos preguntas del Bloque 4 (Decisión), el bloque que evalúa el grado de autonomía decisoria del sistema y la consecuencia de un error, las preguntas más críticas de la matriz:</w:t>
      </w:r>
    </w:p>
    <w:p w14:paraId="09F68738"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P4.1 — «¿El sistema es el único determinante de una decisión que afecta directamente a la persona participante — sin revisión humana obligatoria?» (respuesta de riesgo: Sí)</w:t>
      </w:r>
    </w:p>
    <w:p w14:paraId="51AE18DA"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P4.2 — «En caso de error del sistema, ¿el daño a la persona participante sería irreversible o de difícil reparación?» (respuesta de riesgo: Sí)</w:t>
      </w:r>
    </w:p>
    <w:p w14:paraId="1EFC552A" w14:textId="77777777" w:rsidR="00C30793" w:rsidRDefault="00000000" w:rsidP="00A316F7">
      <w:pPr>
        <w:spacing w:after="120" w:line="360" w:lineRule="auto"/>
        <w:ind w:firstLine="540"/>
        <w:contextualSpacing/>
        <w:jc w:val="both"/>
        <w:rPr>
          <w:rFonts w:ascii="Times New Roman" w:hAnsi="Times New Roman" w:cs="Times New Roman"/>
          <w:sz w:val="24"/>
          <w:szCs w:val="24"/>
        </w:rPr>
      </w:pPr>
      <w:r>
        <w:rPr>
          <w:rFonts w:ascii="Times New Roman" w:hAnsi="Times New Roman" w:cs="Times New Roman"/>
          <w:sz w:val="24"/>
          <w:szCs w:val="24"/>
        </w:rPr>
        <w:t>Si P4.1 o P4.2 se marca como «Sí», se activa el principio de precaución y el protocolo se eleva al Nivel IV, independientemente de la puntuación total. La cláusula sobrescribe la suma: aunque los siete bloques sumados apuntaran al Nivel I o II, la respuesta afirmativa en una de esas preguntas lleva el protocolo al nivel crítico.</w:t>
      </w:r>
    </w:p>
    <w:p w14:paraId="515BEA4C"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3.2 Por qué existe la cláusula</w:t>
      </w:r>
    </w:p>
    <w:p w14:paraId="4E384EBC" w14:textId="77777777" w:rsidR="00973582" w:rsidRPr="00F330B8" w:rsidRDefault="00000000" w:rsidP="00C30793">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Las dos condiciones captadas por P4.1 y P4.2 (ausencia de revisión humana sobre una decisión que afecta directamente a la persona participante, y potencial de daño irreversible) son, en el entendimiento que orientó la elaboración de la matriz, éticamente innegociables. Son exactamente el tipo de condición que un modelo puramente aditivo trataría mal: un protocolo podría </w:t>
        <w:lastRenderedPageBreak/>
        <w:t>acumular una puntuación baja en los demás bloques y, aun así, contener un riesgo decisional grave que quedaría «diluido» en la puntuación total. La cláusula impide esa dilución, al hacer que la presencia de la condición sea decisiva por sí sola.</w:t>
      </w:r>
    </w:p>
    <w:p w14:paraId="61315611" w14:textId="77777777" w:rsidR="00973582" w:rsidRPr="00F330B8" w:rsidRDefault="00000000" w:rsidP="00C30793">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Se trata, por lo tanto, de una ruptura deliberada de la aditividad — una regla deontológica incorporada a la escala cuantitativa. Afirma que hay riesgos cuya gravedad no es compensable con buenas puntuaciones en otras dimensiones.</w:t>
      </w:r>
    </w:p>
    <w:p w14:paraId="3CBFA6DD" w14:textId="77777777" w:rsidR="00C30793" w:rsidRDefault="00C30793" w:rsidP="00F330B8">
      <w:pPr>
        <w:pStyle w:val="Heading2"/>
        <w:spacing w:line="360" w:lineRule="auto"/>
        <w:contextualSpacing/>
        <w:jc w:val="both"/>
        <w:rPr>
          <w:rFonts w:ascii="Times New Roman" w:hAnsi="Times New Roman" w:cs="Times New Roman"/>
          <w:sz w:val="24"/>
          <w:szCs w:val="24"/>
        </w:rPr>
      </w:pPr>
    </w:p>
    <w:p w14:paraId="1F713A37"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3.3 Cómo interactúa la cláusula con el resto de la Versión B</w:t>
      </w:r>
    </w:p>
    <w:p w14:paraId="55D2FFDC" w14:textId="77777777" w:rsidR="00973582" w:rsidRPr="00F330B8" w:rsidRDefault="00000000" w:rsidP="00C30793">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Conviene contrastarla con el Bloque 7 (Mitigación), el otro mecanismo que altera la puntuación. El Bloque 7 es bidireccional y opera dentro de la suma: resta puntos cuando hay mitigación y los preserva cuando no la hay, con piso de cero, es decir, mueve el protocolo a lo largo del gradiente, pero nunca lo saca de él. La Cláusula de Primacía Ética hace lo contrario: no participa de la suma, sino que la sobrescribe. En consecuencia, ninguna mitigación del Bloque 7 reduce un protocolo por debajo del Nivel IV una vez activada la cláusula; la salvaguarda ética prevalece sobre el crédito de mitigación.</w:t>
      </w:r>
    </w:p>
    <w:p w14:paraId="1AAE7763"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3.4 Tres escenarios para concretar la cláusula</w:t>
      </w:r>
    </w:p>
    <w:p w14:paraId="3226C9FD" w14:textId="77777777" w:rsidR="00C30793" w:rsidRDefault="00C30793" w:rsidP="00F330B8">
      <w:pPr>
        <w:pStyle w:val="Heading2"/>
        <w:spacing w:before="120" w:after="60" w:line="360" w:lineRule="auto"/>
        <w:contextualSpacing/>
        <w:jc w:val="both"/>
        <w:rPr>
          <w:rFonts w:ascii="Times New Roman" w:hAnsi="Times New Roman" w:cs="Times New Roman"/>
          <w:sz w:val="24"/>
          <w:szCs w:val="24"/>
        </w:rPr>
      </w:pPr>
    </w:p>
    <w:p w14:paraId="151FAB28" w14:textId="77777777" w:rsidR="00973582" w:rsidRPr="00F330B8" w:rsidRDefault="00000000" w:rsidP="00C30793">
      <w:pPr>
        <w:pStyle w:val="Heading2"/>
        <w:spacing w:before="120" w:after="60" w:line="360" w:lineRule="auto"/>
        <w:contextualSpacing/>
        <w:jc w:val="center"/>
        <w:rPr>
          <w:rFonts w:ascii="Times New Roman" w:hAnsi="Times New Roman" w:cs="Times New Roman"/>
          <w:sz w:val="24"/>
          <w:szCs w:val="24"/>
        </w:rPr>
      </w:pPr>
      <w:r>
        <w:rPr>
          <w:rFonts w:ascii="Times New Roman" w:hAnsi="Times New Roman" w:cs="Times New Roman"/>
          <w:sz w:val="24"/>
          <w:szCs w:val="24"/>
        </w:rPr>
        <w:t>Tabla 4 — Efecto de la Cláusula de Primacía Ética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2826"/>
        <w:gridCol w:w="2400"/>
      </w:tblGrid>
      <w:tr w:rsidR="00973582" w:rsidRPr="00F330B8" w14:paraId="3FEC92B6"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7AF5D28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Escenario</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439988D0"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P4.1 / P4.2</w:t>
            </w:r>
          </w:p>
        </w:tc>
        <w:tc>
          <w:tcPr>
            <w:tcW w:w="28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7422674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La suma de los bloques indicaría</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66E024B1"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Clasificación final</w:t>
            </w:r>
          </w:p>
        </w:tc>
      </w:tr>
      <w:tr w:rsidR="00973582" w:rsidRPr="00F330B8" w14:paraId="1646F60E"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1C525FB"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 — sin condición crítica</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34F1488"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No / No</w:t>
            </w:r>
          </w:p>
        </w:tc>
        <w:tc>
          <w:tcPr>
            <w:tcW w:w="2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BD3731B"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Según los puntos de corte (ej.: Nivel II)</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9F3BA82"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Definida por la suma (Nivel II)</w:t>
            </w:r>
          </w:p>
        </w:tc>
      </w:tr>
      <w:tr w:rsidR="00973582" w:rsidRPr="00F330B8" w14:paraId="03C37867"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B5A2F0F"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B — puntuación baja, pero condición crítica presente</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DCC203A"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Sí (una de ellas)</w:t>
            </w:r>
          </w:p>
        </w:tc>
        <w:tc>
          <w:tcPr>
            <w:tcW w:w="2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AFD1960"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Nivel I o II</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AC35C95"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Nivel IV (la cláusula sobrescribe la suma)</w:t>
            </w:r>
          </w:p>
        </w:tc>
      </w:tr>
      <w:tr w:rsidR="00973582" w:rsidRPr="00F330B8" w14:paraId="5867D359"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EECAB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 — puntuación ya alta y condición presente</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FE33993"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Sí (una de ellas)</w:t>
            </w:r>
          </w:p>
        </w:tc>
        <w:tc>
          <w:tcPr>
            <w:tcW w:w="2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B24A2AD"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Nivel III o IV</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781C4CD" w14:textId="77777777" w:rsidR="00973582" w:rsidRPr="00F330B8" w:rsidRDefault="00000000" w:rsidP="00F330B8">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Nivel IV (sin doble efecto)</w:t>
            </w:r>
          </w:p>
        </w:tc>
      </w:tr>
    </w:tbl>
    <w:p w14:paraId="2223E63C" w14:textId="77777777" w:rsidR="00A316F7" w:rsidRDefault="00A316F7" w:rsidP="00F330B8">
      <w:pPr>
        <w:spacing w:after="120" w:line="360" w:lineRule="auto"/>
        <w:contextualSpacing/>
        <w:jc w:val="both"/>
        <w:rPr>
          <w:rFonts w:ascii="Times New Roman" w:hAnsi="Times New Roman" w:cs="Times New Roman"/>
          <w:sz w:val="24"/>
          <w:szCs w:val="24"/>
        </w:rPr>
      </w:pPr>
    </w:p>
    <w:p w14:paraId="56444AA9" w14:textId="77777777" w:rsidR="00973582" w:rsidRPr="00F330B8" w:rsidRDefault="00000000" w:rsidP="00A316F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El Escenario B es el que hace visible la cláusula: es en él donde la regla deontológica se separa de lo que indicaría la aritmética y eleva el protocolo del gradiente bajo directamente al nivel crítico.</w:t>
      </w:r>
    </w:p>
    <w:p w14:paraId="14F11E72" w14:textId="77777777" w:rsidR="00A316F7" w:rsidRDefault="00A316F7" w:rsidP="00F330B8">
      <w:pPr>
        <w:pStyle w:val="Heading2"/>
        <w:spacing w:line="360" w:lineRule="auto"/>
        <w:contextualSpacing/>
        <w:jc w:val="both"/>
        <w:rPr>
          <w:rFonts w:ascii="Times New Roman" w:hAnsi="Times New Roman" w:cs="Times New Roman"/>
          <w:sz w:val="24"/>
          <w:szCs w:val="24"/>
        </w:rPr>
      </w:pPr>
    </w:p>
    <w:p w14:paraId="0129C838" w14:textId="77777777" w:rsidR="00A316F7" w:rsidRDefault="00A316F7" w:rsidP="00F330B8">
      <w:pPr>
        <w:pStyle w:val="Heading2"/>
        <w:spacing w:line="360" w:lineRule="auto"/>
        <w:contextualSpacing/>
        <w:jc w:val="both"/>
        <w:rPr>
          <w:rFonts w:ascii="Times New Roman" w:hAnsi="Times New Roman" w:cs="Times New Roman"/>
          <w:sz w:val="24"/>
          <w:szCs w:val="24"/>
        </w:rPr>
      </w:pPr>
    </w:p>
    <w:p w14:paraId="3AF2C6CA" w14:textId="77777777" w:rsidR="00973582" w:rsidRPr="00F330B8" w:rsidRDefault="00000000" w:rsidP="00F330B8">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3.5 Crítica: lo que un lector técnico puede plantear</w:t>
      </w:r>
    </w:p>
    <w:p w14:paraId="0EC100F0"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«¿Por qué una salvaguarda en lugar de simplemente asignar un peso muy alto a P4.1 y P4.2?» Porque un peso alto, por grande que fuera, permanecería dentro de la suma y podría, en teoría, ser compensado o diluido por la combinación de los demás bloques. La salvaguarda garantiza que la condición prevalezca en cualquier configuración de puntuación.</w:t>
      </w:r>
    </w:p>
    <w:p w14:paraId="1D4DB60E"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«¿Esto no genera sobreclasificación?» Puede generarla, en algún porcentaje; es el costo deliberado de la precaución. El Frente 2 de la Validación Local (distribución empírica en los niveles) es el instrumento para verificar con qué frecuencia se activa la cláusula y si la elevación resulta desproporcionada en la casuística real.</w:t>
      </w:r>
    </w:p>
    <w:p w14:paraId="494DF9C6" w14:textId="77777777" w:rsidR="00973582" w:rsidRPr="00F330B8" w:rsidRDefault="00000000" w:rsidP="00F330B8">
      <w:pPr>
        <w:pStyle w:val="ListParagraph"/>
        <w:numPr>
          <w:ilvl w:val="0"/>
          <w:numId w:val="2"/>
        </w:numPr>
        <w:spacing w:after="80" w:line="360" w:lineRule="auto"/>
        <w:contextualSpacing/>
        <w:jc w:val="both"/>
        <w:rPr>
          <w:rFonts w:ascii="Times New Roman" w:hAnsi="Times New Roman" w:cs="Times New Roman"/>
          <w:sz w:val="24"/>
          <w:szCs w:val="24"/>
        </w:rPr>
      </w:pPr>
      <w:r>
        <w:rPr>
          <w:rFonts w:ascii="Times New Roman" w:hAnsi="Times New Roman" w:cs="Times New Roman"/>
          <w:sz w:val="24"/>
          <w:szCs w:val="24"/>
        </w:rPr>
        <w:t>«¿La elevación es automática o facultad del colegiado?» La MARIAH aplica la elevación en la clasificación que calcula; la decisión final corresponde al CEP. Como en todo el instrumento, la matriz no aprueba ni reprueba protocolos y no sustituye la deliberación colegiada. La salvaguarda es una señal conservadora, no un veredicto.</w:t>
      </w:r>
    </w:p>
    <w:p w14:paraId="4F73EDBB" w14:textId="77777777" w:rsidR="00973582" w:rsidRPr="00F330B8" w:rsidRDefault="00000000" w:rsidP="00F330B8">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 Disparadores 3 y 4 Preguntas eliminatorias (cadena de custodia y nuevo consentimiento)</w:t>
      </w:r>
    </w:p>
    <w:p w14:paraId="2D73FFBE" w14:textId="77777777" w:rsidR="00973582" w:rsidRPr="00F330B8" w:rsidRDefault="00000000" w:rsidP="00A316F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Los dos últimos disparadores son de naturaleza distinta de los dos primeros y, por eso, se presentan en conjunto. Ambos son preguntas eliminatorias: cuando se activan, no elevan el protocolo a un nivel de riesgo más alto — lo retiran del flujo de clasificación y le asignan la salida categorial «no evaluable por la MARIAH». Esa salida no es un quinto nivel ni un agravamiento de la suma; es un rechazo de la clasificación, que señala que el protocolo exige un análisis individualizado del colegiado, fuera del alcance del instrumento. Los dos difieren en cuanto al fundamento. El Disparador 3 (cadena de custodia, Res. CNS n.º 738/2024) se activa cuando falta una cadena de custodia formalizada de los datos. El Disparador 4 (nuevo consentimiento, Ley n.º 14.874/2024 y LGPD) se activa en sistemas que cambian de comportamiento durante el estudio — en la Versión A cuando 1.2 = Sí; en la Versión B cuando P2.2 = Sí — y el protocolo no presenta un plan de nuevo consentimiento con umbral de cambio definido, procedimiento y responsable; por ser una exigencia legal, la ausencia de ese plan no es compensable con puntos. En la Versión A corresponde a la pregunta 2.10; en la Versión B, a la P2.8. Son, en ese sentido, las salvaguardas más radicales: mientras los Disparadores 1 y 2 obligan a elevar dentro de la escala, las preguntas eliminatorias sobrescriben el conteo o la suma reconociendo el límite de la propia matriz. La activación remite el caso a la deliberación del CEP, en coherencia con el aviso de la MARIAH, que no sustituye el juicio del colegiado. En línea con la Res. CNS n.º 738/2024, la versión actual añade además, en el Eje 3.b / Bloque 6.b, tres ítems de diligencia (P6.b.4.1, P6.b.6 y P6.b.7) que no puntúan y operan como un filtro acumulativo: cuando cualquier criterio aplicable no se cumple, el protocolo también se devuelve para diligencia, sin análisis de mérito.</w:t>
      </w:r>
    </w:p>
    <w:p w14:paraId="5626E993" w14:textId="77777777" w:rsidR="00973582" w:rsidRPr="00F330B8" w:rsidRDefault="00000000" w:rsidP="00F330B8">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5. En síntesis</w:t>
      </w:r>
    </w:p>
    <w:p w14:paraId="2DDB862B" w14:textId="77777777" w:rsidR="00973582" w:rsidRPr="00F330B8" w:rsidRDefault="00000000" w:rsidP="00A316F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Los cuatro disparadores (la regla especial del Eje 3.b, la Cláusula de Primacía Ética, la eliminatoria de cadena de custodia y la diligencia impeditiva de nuevo consentimiento) materializan, en conjunto, la postura conservadora de la MARIAH. Son decisiones éticas incorporadas a la escala, no derivaciones estadísticas: cada una identifica una condición que no admite tratamiento gradual y hace que su presencia prevalezca sobre el conteo (Versión A) o la suma (Versión B). Son asimetrías deliberadas, asumidas como tales, </w:t>
        <w:lastRenderedPageBreak/>
        <w:t xml:space="preserve">que priorizan la precaución sobre la proporcionalidad fina, elección coherente con la ausencia, en esta etapa, de evidencia empírica que permitiera una calibración proporcional.</w:t>
      </w:r>
    </w:p>
    <w:p w14:paraId="59B6EA53" w14:textId="77777777" w:rsidR="00973582" w:rsidRDefault="00000000" w:rsidP="00A316F7">
      <w:pPr>
        <w:spacing w:after="12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El Frente 2 de la Validación Local (distribución empírica en los cuatro niveles, en la Versión B) es el instrumento prospectivo diseñado para verificar, en la casuística real de los CEPs, si estos disparadores están bien calibrados o si producen una sobreclasificación que justifique un ajuste. Las eventuales sugerencias del GT sobre estas reglas se consolidarán al cierre del período de lectura, antes del envío de la Guía a la Editora del Ministerio de Salud de Brasil (Editora MS). Las observaciones y críticas técnicas pueden enviarse, en cualquier momento, a la CGREP (</w:t>
      </w:r>
      <w:hyperlink r:id="rId7" w:history="1">
        <w:r>
          <w:rPr>
            <w:rStyle w:val="Hyperlink"/>
            <w:rFonts w:ascii="Times New Roman" w:hAnsi="Times New Roman" w:cs="Times New Roman"/>
            <w:sz w:val="24"/>
            <w:szCs w:val="24"/>
          </w:rPr>
          <w:t>cgrep@saude.gov.br</w:t>
        </w:r>
      </w:hyperlink>
      <w:r>
        <w:rPr>
          <w:rFonts w:ascii="Times New Roman" w:hAnsi="Times New Roman" w:cs="Times New Roman"/>
          <w:sz w:val="24"/>
          <w:szCs w:val="24"/>
        </w:rPr>
        <w:t>).</w:t>
      </w:r>
    </w:p>
    <w:p w14:paraId="59484FA9" w14:textId="77777777" w:rsidR="002A68F7" w:rsidRPr="00F330B8" w:rsidRDefault="002A68F7" w:rsidP="00A316F7">
      <w:pPr>
        <w:spacing w:after="120" w:line="360" w:lineRule="auto"/>
        <w:ind w:firstLine="720"/>
        <w:contextualSpacing/>
        <w:jc w:val="both"/>
        <w:rPr>
          <w:rFonts w:ascii="Times New Roman" w:hAnsi="Times New Roman" w:cs="Times New Roman"/>
          <w:sz w:val="24"/>
          <w:szCs w:val="24"/>
        </w:rPr>
      </w:pPr>
    </w:p>
    <w:sectPr w:rsidR="002A68F7" w:rsidRPr="00F330B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A581B" w14:textId="77777777" w:rsidR="008701C5" w:rsidRDefault="008701C5">
      <w:r>
        <w:separator/>
      </w:r>
    </w:p>
  </w:endnote>
  <w:endnote w:type="continuationSeparator" w:id="0">
    <w:p w14:paraId="24495B41" w14:textId="77777777" w:rsidR="008701C5" w:rsidRDefault="00870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2999" w14:textId="77777777" w:rsidR="00973582" w:rsidRDefault="00000000">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F330B8">
      <w:rPr>
        <w:noProof/>
        <w:color w:val="6B7280"/>
        <w:sz w:val="16"/>
        <w:szCs w:val="16"/>
      </w:rPr>
      <w:t>1</w:t>
    </w:r>
    <w:r>
      <w:rPr>
        <w:color w:val="6B7280"/>
        <w:sz w:val="16"/>
        <w:szCs w:val="16"/>
      </w:rPr>
      <w:fldChar w:fldCharType="end"/>
    </w:r>
    <w:r>
      <w:rPr>
        <w:color w:val="6B7280"/>
        <w:sz w:val="16"/>
        <w:szCs w:val="16"/>
      </w:rPr>
      <w:t xml:space="preserve"> · Organización del GT INAEP · Ministerio de Salud de Brasil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C0D8" w14:textId="77777777" w:rsidR="008701C5" w:rsidRDefault="008701C5">
      <w:r>
        <w:separator/>
      </w:r>
    </w:p>
  </w:footnote>
  <w:footnote w:type="continuationSeparator" w:id="0">
    <w:p w14:paraId="334676EE" w14:textId="77777777" w:rsidR="008701C5" w:rsidRDefault="00870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964" w14:textId="77777777" w:rsidR="00973582" w:rsidRDefault="00000000">
    <w:pPr>
      <w:jc w:val="right"/>
    </w:pPr>
    <w:r>
      <w:rPr>
        <w:color w:val="6B7280"/>
        <w:sz w:val="16"/>
        <w:szCs w:val="16"/>
      </w:rPr>
      <w:t>MARIAH — Suplemento técnico · Mecanismos de salvaguarda automática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954A7"/>
    <w:multiLevelType w:val="hybridMultilevel"/>
    <w:tmpl w:val="A7F0545E"/>
    <w:lvl w:ilvl="0" w:tplc="2966922A">
      <w:start w:val="1"/>
      <w:numFmt w:val="bullet"/>
      <w:lvlText w:val="•"/>
      <w:lvlJc w:val="left"/>
      <w:pPr>
        <w:ind w:left="540" w:hanging="280"/>
      </w:pPr>
    </w:lvl>
    <w:lvl w:ilvl="1" w:tplc="E14CB9EA">
      <w:numFmt w:val="decimal"/>
      <w:lvlText w:val=""/>
      <w:lvlJc w:val="left"/>
    </w:lvl>
    <w:lvl w:ilvl="2" w:tplc="CD408780">
      <w:numFmt w:val="decimal"/>
      <w:lvlText w:val=""/>
      <w:lvlJc w:val="left"/>
    </w:lvl>
    <w:lvl w:ilvl="3" w:tplc="CC6A9A40">
      <w:numFmt w:val="decimal"/>
      <w:lvlText w:val=""/>
      <w:lvlJc w:val="left"/>
    </w:lvl>
    <w:lvl w:ilvl="4" w:tplc="3294B022">
      <w:numFmt w:val="decimal"/>
      <w:lvlText w:val=""/>
      <w:lvlJc w:val="left"/>
    </w:lvl>
    <w:lvl w:ilvl="5" w:tplc="8280FDD8">
      <w:numFmt w:val="decimal"/>
      <w:lvlText w:val=""/>
      <w:lvlJc w:val="left"/>
    </w:lvl>
    <w:lvl w:ilvl="6" w:tplc="F48E9118">
      <w:numFmt w:val="decimal"/>
      <w:lvlText w:val=""/>
      <w:lvlJc w:val="left"/>
    </w:lvl>
    <w:lvl w:ilvl="7" w:tplc="EAECEFA2">
      <w:numFmt w:val="decimal"/>
      <w:lvlText w:val=""/>
      <w:lvlJc w:val="left"/>
    </w:lvl>
    <w:lvl w:ilvl="8" w:tplc="C03676FE">
      <w:numFmt w:val="decimal"/>
      <w:lvlText w:val=""/>
      <w:lvlJc w:val="left"/>
    </w:lvl>
  </w:abstractNum>
  <w:abstractNum w:abstractNumId="1" w15:restartNumberingAfterBreak="0">
    <w:nsid w:val="5D8E552B"/>
    <w:multiLevelType w:val="hybridMultilevel"/>
    <w:tmpl w:val="596E3692"/>
    <w:lvl w:ilvl="0" w:tplc="D818B40E">
      <w:start w:val="1"/>
      <w:numFmt w:val="bullet"/>
      <w:lvlText w:val="●"/>
      <w:lvlJc w:val="left"/>
      <w:pPr>
        <w:ind w:left="720" w:hanging="360"/>
      </w:pPr>
    </w:lvl>
    <w:lvl w:ilvl="1" w:tplc="2A4A9DB8">
      <w:start w:val="1"/>
      <w:numFmt w:val="bullet"/>
      <w:lvlText w:val="○"/>
      <w:lvlJc w:val="left"/>
      <w:pPr>
        <w:ind w:left="1440" w:hanging="360"/>
      </w:pPr>
    </w:lvl>
    <w:lvl w:ilvl="2" w:tplc="0A28230E">
      <w:start w:val="1"/>
      <w:numFmt w:val="bullet"/>
      <w:lvlText w:val="■"/>
      <w:lvlJc w:val="left"/>
      <w:pPr>
        <w:ind w:left="2160" w:hanging="360"/>
      </w:pPr>
    </w:lvl>
    <w:lvl w:ilvl="3" w:tplc="219A8EC4">
      <w:start w:val="1"/>
      <w:numFmt w:val="bullet"/>
      <w:lvlText w:val="●"/>
      <w:lvlJc w:val="left"/>
      <w:pPr>
        <w:ind w:left="2880" w:hanging="360"/>
      </w:pPr>
    </w:lvl>
    <w:lvl w:ilvl="4" w:tplc="89CE37EA">
      <w:start w:val="1"/>
      <w:numFmt w:val="bullet"/>
      <w:lvlText w:val="○"/>
      <w:lvlJc w:val="left"/>
      <w:pPr>
        <w:ind w:left="3600" w:hanging="360"/>
      </w:pPr>
    </w:lvl>
    <w:lvl w:ilvl="5" w:tplc="5DAE683A">
      <w:start w:val="1"/>
      <w:numFmt w:val="bullet"/>
      <w:lvlText w:val="■"/>
      <w:lvlJc w:val="left"/>
      <w:pPr>
        <w:ind w:left="4320" w:hanging="360"/>
      </w:pPr>
    </w:lvl>
    <w:lvl w:ilvl="6" w:tplc="F3A6B7B0">
      <w:start w:val="1"/>
      <w:numFmt w:val="bullet"/>
      <w:lvlText w:val="●"/>
      <w:lvlJc w:val="left"/>
      <w:pPr>
        <w:ind w:left="5040" w:hanging="360"/>
      </w:pPr>
    </w:lvl>
    <w:lvl w:ilvl="7" w:tplc="6FA0AA36">
      <w:start w:val="1"/>
      <w:numFmt w:val="bullet"/>
      <w:lvlText w:val="●"/>
      <w:lvlJc w:val="left"/>
      <w:pPr>
        <w:ind w:left="5760" w:hanging="360"/>
      </w:pPr>
    </w:lvl>
    <w:lvl w:ilvl="8" w:tplc="51BC0BB6">
      <w:start w:val="1"/>
      <w:numFmt w:val="bullet"/>
      <w:lvlText w:val="●"/>
      <w:lvlJc w:val="left"/>
      <w:pPr>
        <w:ind w:left="6480" w:hanging="360"/>
      </w:pPr>
    </w:lvl>
  </w:abstractNum>
  <w:num w:numId="1" w16cid:durableId="1761414528">
    <w:abstractNumId w:val="1"/>
    <w:lvlOverride w:ilvl="0">
      <w:startOverride w:val="1"/>
    </w:lvlOverride>
  </w:num>
  <w:num w:numId="2" w16cid:durableId="1502892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582"/>
    <w:rsid w:val="00120BC4"/>
    <w:rsid w:val="001C0D30"/>
    <w:rsid w:val="00285364"/>
    <w:rsid w:val="002A68F7"/>
    <w:rsid w:val="003E0989"/>
    <w:rsid w:val="004956F1"/>
    <w:rsid w:val="00555D69"/>
    <w:rsid w:val="007F1C28"/>
    <w:rsid w:val="008701C5"/>
    <w:rsid w:val="00935DC8"/>
    <w:rsid w:val="00973582"/>
    <w:rsid w:val="009804FE"/>
    <w:rsid w:val="00A316F7"/>
    <w:rsid w:val="00B10850"/>
    <w:rsid w:val="00C30793"/>
    <w:rsid w:val="00D022B7"/>
    <w:rsid w:val="00D44E19"/>
    <w:rsid w:val="00F330B8"/>
    <w:rsid w:val="00FB7BF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B50233D"/>
  <w15:docId w15:val="{25B0B807-18C3-4A49-AE0F-104B0720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F766E"/>
      <w:sz w:val="26"/>
      <w:szCs w:val="26"/>
    </w:rPr>
  </w:style>
  <w:style w:type="paragraph" w:styleId="Heading2">
    <w:name w:val="heading 2"/>
    <w:uiPriority w:val="9"/>
    <w:unhideWhenUsed/>
    <w:qFormat/>
    <w:pPr>
      <w:spacing w:before="160" w:after="80"/>
      <w:outlineLvl w:val="1"/>
    </w:pPr>
    <w:rPr>
      <w:b/>
      <w:bCs/>
      <w:color w:val="1F29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6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grep@saude.gov.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2291</Words>
  <Characters>11825</Characters>
  <Application>Microsoft Office Word</Application>
  <DocSecurity>0</DocSecurity>
  <Lines>275</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Fabiano Tonaco Borges</cp:lastModifiedBy>
  <cp:revision>2</cp:revision>
  <dcterms:created xsi:type="dcterms:W3CDTF">2026-06-14T20:24:00Z</dcterms:created>
  <dcterms:modified xsi:type="dcterms:W3CDTF">2026-06-14T20:24:00Z</dcterms:modified>
</cp:coreProperties>
</file>