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5FF2" w14:textId="7D73B593" w:rsidR="003328F8" w:rsidRPr="00530DBD" w:rsidRDefault="008A6590" w:rsidP="00530DBD">
      <w:pPr>
        <w:spacing w:line="360" w:lineRule="auto"/>
        <w:contextualSpacing/>
        <w:jc w:val="center"/>
        <w:rPr>
          <w:rFonts w:ascii="Times New Roman" w:hAnsi="Times New Roman" w:cs="Times New Roman"/>
          <w:lang w:val="pt-BR"/>
        </w:rPr>
      </w:pPr>
      <w:r w:rsidRPr="00530DBD">
        <w:rPr>
          <w:rFonts w:ascii="Times New Roman" w:hAnsi="Times New Roman" w:cs="Times New Roman"/>
          <w:lang w:val="pt-BR"/>
        </w:rPr>
        <w:t xml:space="preserve">INSTRUÇÕES DE USO MATRIZ </w:t>
      </w:r>
      <w:r w:rsidR="00211C90">
        <w:rPr>
          <w:rFonts w:ascii="Times New Roman" w:hAnsi="Times New Roman" w:cs="Times New Roman"/>
          <w:lang w:val="pt-BR"/>
        </w:rPr>
        <w:t xml:space="preserve">DE AVALIAÇÃO </w:t>
      </w:r>
      <w:r w:rsidRPr="00530DBD">
        <w:rPr>
          <w:rFonts w:ascii="Times New Roman" w:hAnsi="Times New Roman" w:cs="Times New Roman"/>
          <w:lang w:val="pt-BR"/>
        </w:rPr>
        <w:t>DE RISCO ALGORITIMICO</w:t>
      </w:r>
      <w:r w:rsidR="00211C90">
        <w:rPr>
          <w:rFonts w:ascii="Times New Roman" w:hAnsi="Times New Roman" w:cs="Times New Roman"/>
          <w:lang w:val="pt-BR"/>
        </w:rPr>
        <w:t xml:space="preserve"> (MARA)</w:t>
      </w:r>
    </w:p>
    <w:p w14:paraId="24A93CA9" w14:textId="77777777" w:rsidR="00014C4C" w:rsidRPr="00530DBD" w:rsidRDefault="00014C4C" w:rsidP="00530DBD">
      <w:pPr>
        <w:spacing w:line="360" w:lineRule="auto"/>
        <w:contextualSpacing/>
        <w:jc w:val="both"/>
        <w:rPr>
          <w:rFonts w:ascii="Times New Roman" w:hAnsi="Times New Roman" w:cs="Times New Roman"/>
          <w:lang w:val="pt-BR"/>
        </w:rPr>
      </w:pPr>
    </w:p>
    <w:p w14:paraId="5C1402B2" w14:textId="44F118A3" w:rsidR="00FA798D" w:rsidRPr="00530DBD" w:rsidRDefault="00014C4C" w:rsidP="00530DBD">
      <w:pPr>
        <w:pStyle w:val="font-claude-response-body"/>
        <w:spacing w:line="360" w:lineRule="auto"/>
        <w:contextualSpacing/>
        <w:jc w:val="both"/>
      </w:pPr>
      <w:r w:rsidRPr="00530DBD">
        <w:rPr>
          <w:rStyle w:val="Strong"/>
          <w:rFonts w:eastAsiaTheme="majorEastAsia"/>
        </w:rPr>
        <w:t>IU.1 Antes de começar: qual versão usar?</w:t>
      </w:r>
      <w:r w:rsidRPr="00530DBD">
        <w:t xml:space="preserve"> </w:t>
      </w:r>
    </w:p>
    <w:p w14:paraId="1CC1C2C8" w14:textId="74FDD2C9" w:rsidR="00FA798D" w:rsidRPr="00530DBD" w:rsidRDefault="00B17F49" w:rsidP="00530DBD">
      <w:pPr>
        <w:pStyle w:val="font-claude-response-body"/>
        <w:spacing w:line="360" w:lineRule="auto"/>
        <w:ind w:firstLine="720"/>
        <w:contextualSpacing/>
        <w:jc w:val="both"/>
      </w:pPr>
      <w:r w:rsidRPr="00530DBD">
        <w:t xml:space="preserve">A escolha entre a Versão A Qualitativa e a Versão B Quantitativa </w:t>
      </w:r>
      <w:r w:rsidR="00240B5F" w:rsidRPr="00240B5F">
        <w:t>da Matriz de Avaliação de Risco Algorítmico (MARA)</w:t>
      </w:r>
      <w:r w:rsidR="00240B5F">
        <w:t xml:space="preserve"> </w:t>
      </w:r>
      <w:r w:rsidRPr="00530DBD">
        <w:t>não é escolha entre instrumento rigoroso e instrumento simplificado. As duas versões partem da mesma base ética, percorrem os mesmos eixos de avaliação e chegam ao mesmo conjunto de exigências por nível de risco. O que as diferencia é a lógica de operação: a Versão A orienta o raciocínio por fluxograma sequencial; a Versão B orienta a rastreabilidade por pontuação ponderada. Um CEP que escolhe a Versão A não faz escolha menos rigorosa. Faz a escolha adequada ao seu momento institucional e ao perfil dos protocolos que avalia.</w:t>
      </w:r>
    </w:p>
    <w:p w14:paraId="7855FACD" w14:textId="36D176A7" w:rsidR="00B17F49" w:rsidRDefault="00B17F49" w:rsidP="00530DBD">
      <w:pPr>
        <w:pStyle w:val="font-claude-response-body"/>
        <w:spacing w:line="360" w:lineRule="auto"/>
        <w:ind w:firstLine="720"/>
        <w:contextualSpacing/>
        <w:jc w:val="both"/>
      </w:pPr>
      <w:r w:rsidRPr="00530DBD">
        <w:t>Três perguntas orientam essa escolha. A primeira é sobre experiência institucional: o CEP tem ciclos consolidados de avaliação de protocolos com IA, com membros familiarizados com os conceitos do Capítulo 2 e com a lógica dos cinco eixos, ou está nos primeiros ciclos de familiarização com esse tipo de protocolo? A Versão A é o ponto de entrada recomendado para comitês que estão construindo essa familiaridade. A segunda é sobre a complexidade do protocolo: o sistema de IA descrito envolve múltiplas arquiteturas, aprendizado contínuo, uso simultâneo em diferentes fases da pesquisa ou integração com outros sistemas, ou trata-se de uso mais circunscrito com sistema claramente descrito? Protocolos de alta complexidade técnica se beneficiam da granularidade da Versão B, que permite identificar onde o risco está concentrado e como as mitigações o reduziram. A terceira é sobre as necessidades institucionais de documentação: a instituição precisa comparar protocolos entre si, produzir relatórios auditáveis sobre as decisões do comitê ou demonstrar para patrocinadores e reguladores a base numérica das aprovações e recusas? A Versão B foi desenhada para esse nível de rastreabilidade.</w:t>
      </w:r>
    </w:p>
    <w:p w14:paraId="1CD0A6C0" w14:textId="77777777" w:rsidR="008971B3" w:rsidRDefault="008971B3" w:rsidP="00530DBD">
      <w:pPr>
        <w:pStyle w:val="font-claude-response-body"/>
        <w:spacing w:line="360" w:lineRule="auto"/>
        <w:ind w:firstLine="720"/>
        <w:contextualSpacing/>
        <w:jc w:val="both"/>
      </w:pPr>
    </w:p>
    <w:p w14:paraId="0AA79096" w14:textId="153C51C5" w:rsidR="008971B3" w:rsidRPr="008971B3" w:rsidRDefault="008971B3" w:rsidP="008971B3">
      <w:pPr>
        <w:pStyle w:val="font-claude-response-body"/>
        <w:spacing w:line="360" w:lineRule="auto"/>
        <w:ind w:firstLine="720"/>
        <w:contextualSpacing/>
        <w:jc w:val="center"/>
        <w:rPr>
          <w:b/>
          <w:bCs/>
        </w:rPr>
      </w:pPr>
      <w:r w:rsidRPr="008971B3">
        <w:rPr>
          <w:b/>
          <w:bCs/>
        </w:rPr>
        <w:t xml:space="preserve">Quadro 1 Comparativo das Versões Quantitativa e Qualitativa da Matriz </w:t>
      </w:r>
      <w:r w:rsidR="00A62363">
        <w:rPr>
          <w:b/>
          <w:bCs/>
        </w:rPr>
        <w:t xml:space="preserve">de Avaliação </w:t>
      </w:r>
      <w:r w:rsidRPr="008971B3">
        <w:rPr>
          <w:b/>
          <w:bCs/>
        </w:rPr>
        <w:t>de Risco Algorítmico</w:t>
      </w:r>
      <w:r w:rsidR="00211C90">
        <w:rPr>
          <w:b/>
          <w:bCs/>
        </w:rPr>
        <w:t xml:space="preserve"> (MARA)</w:t>
      </w:r>
    </w:p>
    <w:tbl>
      <w:tblPr>
        <w:tblStyle w:val="TableGrid"/>
        <w:tblW w:w="0" w:type="auto"/>
        <w:tblLook w:val="04A0" w:firstRow="1" w:lastRow="0" w:firstColumn="1" w:lastColumn="0" w:noHBand="0" w:noVBand="1"/>
      </w:tblPr>
      <w:tblGrid>
        <w:gridCol w:w="1740"/>
        <w:gridCol w:w="3842"/>
        <w:gridCol w:w="3768"/>
      </w:tblGrid>
      <w:tr w:rsidR="00B17F49" w:rsidRPr="00530DBD" w14:paraId="4FE91000" w14:textId="77777777" w:rsidTr="008971B3">
        <w:tc>
          <w:tcPr>
            <w:tcW w:w="0" w:type="auto"/>
            <w:hideMark/>
          </w:tcPr>
          <w:p w14:paraId="1583759F"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p>
        </w:tc>
        <w:tc>
          <w:tcPr>
            <w:tcW w:w="0" w:type="auto"/>
            <w:hideMark/>
          </w:tcPr>
          <w:p w14:paraId="6F4424DC" w14:textId="5A888F7F" w:rsidR="00B17F49" w:rsidRPr="00530DBD" w:rsidRDefault="00B17F49" w:rsidP="00530DBD">
            <w:pPr>
              <w:spacing w:line="360" w:lineRule="auto"/>
              <w:contextualSpacing/>
              <w:jc w:val="both"/>
              <w:rPr>
                <w:rFonts w:ascii="Times New Roman" w:eastAsia="Times New Roman" w:hAnsi="Times New Roman" w:cs="Times New Roman"/>
                <w:b/>
                <w:bCs/>
                <w:kern w:val="0"/>
                <w14:ligatures w14:val="none"/>
              </w:rPr>
            </w:pPr>
            <w:r w:rsidRPr="00530DBD">
              <w:rPr>
                <w:rFonts w:ascii="Times New Roman" w:eastAsia="Times New Roman" w:hAnsi="Times New Roman" w:cs="Times New Roman"/>
                <w:b/>
                <w:bCs/>
                <w:kern w:val="0"/>
                <w14:ligatures w14:val="none"/>
              </w:rPr>
              <w:t>Versão A  Qualitativa</w:t>
            </w:r>
          </w:p>
        </w:tc>
        <w:tc>
          <w:tcPr>
            <w:tcW w:w="0" w:type="auto"/>
            <w:hideMark/>
          </w:tcPr>
          <w:p w14:paraId="2446EC6E" w14:textId="43F5DC05" w:rsidR="00B17F49" w:rsidRPr="00530DBD" w:rsidRDefault="00B17F49" w:rsidP="00530DBD">
            <w:pPr>
              <w:spacing w:line="360" w:lineRule="auto"/>
              <w:contextualSpacing/>
              <w:jc w:val="both"/>
              <w:rPr>
                <w:rFonts w:ascii="Times New Roman" w:eastAsia="Times New Roman" w:hAnsi="Times New Roman" w:cs="Times New Roman"/>
                <w:b/>
                <w:bCs/>
                <w:kern w:val="0"/>
                <w14:ligatures w14:val="none"/>
              </w:rPr>
            </w:pPr>
            <w:r w:rsidRPr="00530DBD">
              <w:rPr>
                <w:rFonts w:ascii="Times New Roman" w:eastAsia="Times New Roman" w:hAnsi="Times New Roman" w:cs="Times New Roman"/>
                <w:b/>
                <w:bCs/>
                <w:kern w:val="0"/>
                <w14:ligatures w14:val="none"/>
              </w:rPr>
              <w:t>Versão B  Quantitativa</w:t>
            </w:r>
          </w:p>
        </w:tc>
      </w:tr>
      <w:tr w:rsidR="00B17F49" w:rsidRPr="00530DBD" w14:paraId="5CD12134" w14:textId="77777777" w:rsidTr="008971B3">
        <w:tc>
          <w:tcPr>
            <w:tcW w:w="0" w:type="auto"/>
            <w:hideMark/>
          </w:tcPr>
          <w:p w14:paraId="3B17BA40"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b/>
                <w:bCs/>
                <w:kern w:val="0"/>
                <w14:ligatures w14:val="none"/>
              </w:rPr>
              <w:lastRenderedPageBreak/>
              <w:t>Perfil do CEP</w:t>
            </w:r>
          </w:p>
        </w:tc>
        <w:tc>
          <w:tcPr>
            <w:tcW w:w="0" w:type="auto"/>
            <w:hideMark/>
          </w:tcPr>
          <w:p w14:paraId="1850F275"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kern w:val="0"/>
                <w14:ligatures w14:val="none"/>
              </w:rPr>
              <w:t>Primeiros ciclos com IA ou protocolos de menor complexidade</w:t>
            </w:r>
          </w:p>
        </w:tc>
        <w:tc>
          <w:tcPr>
            <w:tcW w:w="0" w:type="auto"/>
            <w:hideMark/>
          </w:tcPr>
          <w:p w14:paraId="747237BC"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kern w:val="0"/>
                <w14:ligatures w14:val="none"/>
              </w:rPr>
              <w:t>Experiência consolidada ou protocolos de alta complexidade</w:t>
            </w:r>
          </w:p>
        </w:tc>
      </w:tr>
      <w:tr w:rsidR="00B17F49" w:rsidRPr="00530DBD" w14:paraId="147FB368" w14:textId="77777777" w:rsidTr="008971B3">
        <w:tc>
          <w:tcPr>
            <w:tcW w:w="0" w:type="auto"/>
            <w:hideMark/>
          </w:tcPr>
          <w:p w14:paraId="5DF3B61C"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b/>
                <w:bCs/>
                <w:kern w:val="0"/>
                <w14:ligatures w14:val="none"/>
              </w:rPr>
              <w:t>Lógica de operação</w:t>
            </w:r>
          </w:p>
        </w:tc>
        <w:tc>
          <w:tcPr>
            <w:tcW w:w="0" w:type="auto"/>
            <w:hideMark/>
          </w:tcPr>
          <w:p w14:paraId="699E316D"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kern w:val="0"/>
                <w14:ligatures w14:val="none"/>
              </w:rPr>
              <w:t>Fluxograma sequencial, resposta binária por eixo</w:t>
            </w:r>
          </w:p>
        </w:tc>
        <w:tc>
          <w:tcPr>
            <w:tcW w:w="0" w:type="auto"/>
            <w:hideMark/>
          </w:tcPr>
          <w:p w14:paraId="74DB19F5"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kern w:val="0"/>
                <w14:ligatures w14:val="none"/>
              </w:rPr>
              <w:t>Pontuação ponderada em sete blocos</w:t>
            </w:r>
          </w:p>
        </w:tc>
      </w:tr>
      <w:tr w:rsidR="00B17F49" w:rsidRPr="00530DBD" w14:paraId="4EFCF8D5" w14:textId="77777777" w:rsidTr="008971B3">
        <w:tc>
          <w:tcPr>
            <w:tcW w:w="0" w:type="auto"/>
            <w:hideMark/>
          </w:tcPr>
          <w:p w14:paraId="021269BD"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b/>
                <w:bCs/>
                <w:kern w:val="0"/>
                <w14:ligatures w14:val="none"/>
              </w:rPr>
              <w:t>Resultado</w:t>
            </w:r>
          </w:p>
        </w:tc>
        <w:tc>
          <w:tcPr>
            <w:tcW w:w="0" w:type="auto"/>
            <w:hideMark/>
          </w:tcPr>
          <w:p w14:paraId="176F19AE"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kern w:val="0"/>
                <w14:ligatures w14:val="none"/>
              </w:rPr>
              <w:t>Nível de risco por combinação de respostas</w:t>
            </w:r>
          </w:p>
        </w:tc>
        <w:tc>
          <w:tcPr>
            <w:tcW w:w="0" w:type="auto"/>
            <w:hideMark/>
          </w:tcPr>
          <w:p w14:paraId="1C38ED86"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kern w:val="0"/>
                <w14:ligatures w14:val="none"/>
              </w:rPr>
              <w:t>Nível de risco por soma total com rastreabilidade numérica</w:t>
            </w:r>
          </w:p>
        </w:tc>
      </w:tr>
      <w:tr w:rsidR="00B17F49" w:rsidRPr="00530DBD" w14:paraId="02E910F6" w14:textId="77777777" w:rsidTr="008971B3">
        <w:tc>
          <w:tcPr>
            <w:tcW w:w="0" w:type="auto"/>
            <w:hideMark/>
          </w:tcPr>
          <w:p w14:paraId="59E2E456"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b/>
                <w:bCs/>
                <w:kern w:val="0"/>
                <w14:ligatures w14:val="none"/>
              </w:rPr>
              <w:t>Uso prioritário</w:t>
            </w:r>
          </w:p>
        </w:tc>
        <w:tc>
          <w:tcPr>
            <w:tcW w:w="0" w:type="auto"/>
            <w:hideMark/>
          </w:tcPr>
          <w:p w14:paraId="705E92BA"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kern w:val="0"/>
                <w14:ligatures w14:val="none"/>
              </w:rPr>
              <w:t>Deliberação colegiada orientada ao raciocínio</w:t>
            </w:r>
          </w:p>
        </w:tc>
        <w:tc>
          <w:tcPr>
            <w:tcW w:w="0" w:type="auto"/>
            <w:hideMark/>
          </w:tcPr>
          <w:p w14:paraId="772FE174"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kern w:val="0"/>
                <w14:ligatures w14:val="none"/>
              </w:rPr>
              <w:t>Documentação auditável e comparação entre protocolos</w:t>
            </w:r>
          </w:p>
        </w:tc>
      </w:tr>
    </w:tbl>
    <w:p w14:paraId="39FBCCC5" w14:textId="77777777" w:rsidR="00FB3D0A" w:rsidRPr="00530DBD" w:rsidRDefault="00FB3D0A" w:rsidP="00530DBD">
      <w:pPr>
        <w:spacing w:before="100" w:beforeAutospacing="1" w:after="100" w:afterAutospacing="1" w:line="360" w:lineRule="auto"/>
        <w:contextualSpacing/>
        <w:jc w:val="both"/>
        <w:rPr>
          <w:rFonts w:ascii="Times New Roman" w:eastAsia="Times New Roman" w:hAnsi="Times New Roman" w:cs="Times New Roman"/>
          <w:kern w:val="0"/>
          <w14:ligatures w14:val="none"/>
        </w:rPr>
      </w:pPr>
    </w:p>
    <w:p w14:paraId="423C5D8C" w14:textId="7BDF20D7" w:rsidR="00B17F49" w:rsidRPr="00530DBD" w:rsidRDefault="00B17F49" w:rsidP="008971B3">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sidRPr="00530DBD">
        <w:rPr>
          <w:rFonts w:ascii="Times New Roman" w:eastAsia="Times New Roman" w:hAnsi="Times New Roman" w:cs="Times New Roman"/>
          <w:kern w:val="0"/>
          <w14:ligatures w14:val="none"/>
        </w:rPr>
        <w:t>As duas versões são compatíveis e podem ser usadas em combinação. Um CEP pode adotar a Versão A como triagem inicial e recorrer à Versão B para aprofundar a análise de protocolos que a Versão A classifique nos Níveis III ou IV. Pode, também, começar com a Versão A e migrar progressivamente para a Versão B à medida que os membros desenvolvem familiaridade com o instrumento. A escolha não é irreversível. O instrumento foi desenhado para acompanhar o desenvolvimento institucional do comitê, não para fixá-lo num nível de capacidade.</w:t>
      </w:r>
    </w:p>
    <w:p w14:paraId="13D2F0A4" w14:textId="77777777" w:rsidR="00514D57" w:rsidRDefault="00014C4C" w:rsidP="00514D57">
      <w:pPr>
        <w:pStyle w:val="font-claude-response-body"/>
        <w:spacing w:line="360" w:lineRule="auto"/>
        <w:contextualSpacing/>
        <w:jc w:val="both"/>
      </w:pPr>
      <w:r w:rsidRPr="00530DBD">
        <w:rPr>
          <w:rStyle w:val="Strong"/>
          <w:rFonts w:eastAsiaTheme="majorEastAsia"/>
        </w:rPr>
        <w:t>IU.2 Aplicando a Versão A Qualitativa: passo a passo</w:t>
      </w:r>
      <w:r w:rsidRPr="00530DBD">
        <w:t xml:space="preserve"> </w:t>
      </w:r>
    </w:p>
    <w:p w14:paraId="20269B4E" w14:textId="77777777" w:rsidR="00BF089D" w:rsidRDefault="00C25C66" w:rsidP="00BF089D">
      <w:pPr>
        <w:pStyle w:val="font-claude-response-body"/>
        <w:spacing w:line="360" w:lineRule="auto"/>
        <w:ind w:firstLine="720"/>
        <w:contextualSpacing/>
        <w:jc w:val="both"/>
      </w:pPr>
      <w:r w:rsidRPr="00530DBD">
        <w:t>O Passo 0 é a decisão que determina se a Versão A se aplica ao protocolo em avaliação. A pergunta é precisa e deve ser respondida antes de qualquer outra leitura do instrumento: o sistema de IA realiza automação de decisão, geração de conteúdo ou intervenção no protocolo ou na condução do estudo? Três tipos de uso acionam a matriz. O primeiro é a automação de decisão: qualquer sistema que produza classificações, escores, recomendações ou alertas que influenciem decisões sobre participantes ou sobre a condução do estudo. O segundo é a geração de conteúdo: sistemas que produzem texto, dados sintéticos, imagens ou qualquer outro conteúdo que integre o protocolo, o TCLE, os instrumentos de coleta ou os resultados da pesquisa. O terceiro é a intervenção: sistemas cuja saída orienta, modifica ou substitui etapas do protocolo. Uma ferramenta de organização bibliográfica não aciona a matriz. Um modelo de apoio diagnóstico aciona. Um gerador de dados sintéticos aciona. Um sistema de processamento de linguagem natural que analisa prontuários para identificar participantes elegíveis aciona. A dúvida sobre onde traçar essa linha não é sinal de fragilidade do avaliador. É sinal de que o protocolo deve ser levado ao plenário antes de qualquer decisão sobre a aplicação da matriz.</w:t>
      </w:r>
    </w:p>
    <w:p w14:paraId="16508DF8" w14:textId="77777777" w:rsidR="00075863" w:rsidRDefault="00C25C66" w:rsidP="00BF089D">
      <w:pPr>
        <w:pStyle w:val="font-claude-response-body"/>
        <w:spacing w:line="360" w:lineRule="auto"/>
        <w:ind w:firstLine="720"/>
        <w:contextualSpacing/>
        <w:jc w:val="both"/>
      </w:pPr>
      <w:r w:rsidRPr="00530DBD">
        <w:lastRenderedPageBreak/>
        <w:t xml:space="preserve">A caracterização do contexto de uso é o passo mais negligenciado e o mais consequente de toda a Versão A. Sem ela, os cinco eixos produzem leituras descontextualizadas que podem classificar sistemas distintos no mesmo nível por razões incomparáveis. Antes de percorrer qualquer eixo, o CEP precisa responder a duas perguntas sobre o sistema: qual é a pergunta que ele foi desenvolvido para responder neste protocolo, e a resposta é produzida de forma autônoma ou subsidia uma decisão tomada por um ser humano? </w:t>
      </w:r>
    </w:p>
    <w:p w14:paraId="032BC9B2" w14:textId="77777777" w:rsidR="00F05CAC" w:rsidRDefault="00C25C66" w:rsidP="00F05CAC">
      <w:pPr>
        <w:pStyle w:val="font-claude-response-body"/>
        <w:spacing w:line="360" w:lineRule="auto"/>
        <w:ind w:firstLine="720"/>
        <w:contextualSpacing/>
        <w:jc w:val="both"/>
      </w:pPr>
      <w:r w:rsidRPr="00530DBD">
        <w:t>A resposta a essas duas perguntas situa o sistema no seu território ético específico e orienta o percurso pelos eixos seguintes. O percurso pelos cinco eixos apresenta situações onde a resposta binária não é óbvia. Quando o pesquisador descreve o sistema como supervisionado mas não descreve o mecanismo de supervisão, a resposta correta é de risco: supervisão declarada sem mecanismo descrito é supervisão não verificável. Quando o protocolo menciona validação mas não documenta testes de desempenho por subgrupo populacional, a resposta correta é de risco: validação global sem análise estratificada não garante equidade. Quando o TCLE menciona IA mas em linguagem técnica que o participante médio não compreenderia, a resposta correta é de risco: menção sem compreensibilidade não satisfaz o requisito de consentimento informado.</w:t>
      </w:r>
    </w:p>
    <w:p w14:paraId="3CFCFF23" w14:textId="77777777" w:rsidR="00480417" w:rsidRDefault="00C25C66" w:rsidP="00F05CAC">
      <w:pPr>
        <w:pStyle w:val="font-claude-response-body"/>
        <w:spacing w:line="360" w:lineRule="auto"/>
        <w:ind w:firstLine="720"/>
        <w:contextualSpacing/>
        <w:jc w:val="both"/>
      </w:pPr>
      <w:r w:rsidRPr="00530DBD">
        <w:t xml:space="preserve">O resultado da Versão A é um nível de risco determinado pela combinação das respostas nos cinco eixos, com a regra crítica aplicada: um único eixo classificado em Nível IV eleva o protocolo inteiro ao Nível IV, independentemente dos demais eixos. Cada nível determina um conjunto de requisitos mínimos cumulativos que o pesquisador deve demonstrar ter atendido antes da aprovação. No Nível I, exige-se declaração de uso de IA e menção no TCLE. No Nível II, acrescentam-se a descrição do sistema e a demonstração de conformidade com a LGPD. No Nível III, acrescentam-se documentação de validação técnica, análise de desempenho por subgrupos e comprovação de supervisão humana efetiva. No Nível IV, acrescentam-se parecer técnico externo, plano de monitoramento contínuo com critérios de interrupção e, quando aplicável, notificação à ANVISA. </w:t>
      </w:r>
    </w:p>
    <w:p w14:paraId="3FD76FD7" w14:textId="49407953" w:rsidR="00C25C66" w:rsidRPr="00530DBD" w:rsidRDefault="00C25C66" w:rsidP="00F05CAC">
      <w:pPr>
        <w:pStyle w:val="font-claude-response-body"/>
        <w:spacing w:line="360" w:lineRule="auto"/>
        <w:ind w:firstLine="720"/>
        <w:contextualSpacing/>
        <w:jc w:val="both"/>
      </w:pPr>
      <w:r w:rsidRPr="00530DBD">
        <w:t xml:space="preserve">O CEP traduz esse resultado em linguagem de parecer com precisão: o protocolo foi classificado no Nível X da Matriz de Avaliação de Risco Algorítmico, Versão A, e não satisfaz os requisitos mínimos do nível nas seguintes dimensões, com indicação explícita de quais requisitos estão ausentes e qual o prazo para complementação. Quando o protocolo apresenta falha estrutural que nenhuma complementação resolve, a recusa é fundamentada no nível de risco identificado e nos princípios da Lei n.º 14.874/2024. A regra crítica não é punição. É o princípio de precaução </w:t>
      </w:r>
      <w:r w:rsidRPr="00530DBD">
        <w:lastRenderedPageBreak/>
        <w:t>materializado no instrumento: um sistema que falha numa dimensão estrutural não se torna ético por ter desempenho adequado nas demais.</w:t>
      </w:r>
    </w:p>
    <w:p w14:paraId="73D57050" w14:textId="77777777" w:rsidR="00C25C66" w:rsidRPr="00530DBD" w:rsidRDefault="00C25C66" w:rsidP="00530DBD">
      <w:pPr>
        <w:pStyle w:val="font-claude-response-body"/>
        <w:spacing w:line="360" w:lineRule="auto"/>
        <w:contextualSpacing/>
        <w:jc w:val="both"/>
      </w:pPr>
    </w:p>
    <w:p w14:paraId="0D2B2C23" w14:textId="77777777" w:rsidR="006D76B3" w:rsidRDefault="00014C4C" w:rsidP="006D76B3">
      <w:pPr>
        <w:pStyle w:val="font-claude-response-body"/>
        <w:spacing w:line="360" w:lineRule="auto"/>
        <w:contextualSpacing/>
        <w:jc w:val="both"/>
      </w:pPr>
      <w:r w:rsidRPr="00530DBD">
        <w:rPr>
          <w:rStyle w:val="Strong"/>
          <w:rFonts w:eastAsiaTheme="majorEastAsia"/>
        </w:rPr>
        <w:t>IU.3 Aplicando a Versão B Quantitativa: passo a passo</w:t>
      </w:r>
      <w:r w:rsidRPr="00530DBD">
        <w:t xml:space="preserve"> </w:t>
      </w:r>
    </w:p>
    <w:p w14:paraId="102EA827" w14:textId="77777777" w:rsidR="006D76B3" w:rsidRDefault="003B0470" w:rsidP="006D76B3">
      <w:pPr>
        <w:pStyle w:val="font-claude-response-body"/>
        <w:spacing w:line="360" w:lineRule="auto"/>
        <w:ind w:firstLine="720"/>
        <w:contextualSpacing/>
        <w:jc w:val="both"/>
      </w:pPr>
      <w:r w:rsidRPr="00530DBD">
        <w:t>A Versão B opera sobre a mesma base ética e os mesmos eixos da Versão A, mas com lógica distinta: pontuação ponderada em sete blocos, soma total que determina o nível de risco e capacidade de identificar onde o risco está concentrado. Antes de iniciar a pontuação, o Passo 0 é idêntico ao da Versão A: o sistema realiza automação de decisão, geração de conteúdo ou intervenção no protocolo? Se não, a matriz não se aplica. Se sim, o CEP prossegue para a caracterização do contexto de uso, que na Versão B é obrigatória e não pontua, mas condiciona toda a pontuação subsequente. As duas perguntas descritivas — qual é a pergunta que o sistema foi desenvolvido para responder, e a resposta é autônoma ou subsidiária — precisam estar respondidas antes do primeiro bloco.</w:t>
      </w:r>
    </w:p>
    <w:p w14:paraId="432EA24B" w14:textId="77777777" w:rsidR="00C80206" w:rsidRDefault="003B0470" w:rsidP="00C80206">
      <w:pPr>
        <w:pStyle w:val="font-claude-response-body"/>
        <w:spacing w:line="360" w:lineRule="auto"/>
        <w:ind w:firstLine="720"/>
        <w:contextualSpacing/>
        <w:jc w:val="both"/>
      </w:pPr>
      <w:r w:rsidRPr="00530DBD">
        <w:t>Os sete blocos percorrem dimensões distintas com pesos distintos. O Bloco 1 avalia o projeto: transparência do protocolo, qualificação da equipe e clareza da proposta, com pontuação máxima de 22 pontos. O Bloco 2 avalia o sistema: autonomia, adaptabilidade e rastreabilidade, com pontuação máxima de 17 pontos. O Bloco 3 avalia o ciclo de vida: estágio de desenvolvimento, monitoramento e plano de retreinamento, com pontuação máxima de 23 pontos. O Bloco 4 avalia a natureza da decisão apoiada: reversibilidade, autonomia decisória e consequência clínica, com pontuação máxima de 24 pontos. O Bloco 5 avalia o impacto sobre a pessoa participante, com pontuação máxima de 52 pontos. O Bloco 6 avalia a sensibilidade e a governança dos dados, com pontuação máxima de 55 pontos. O Bloco 7 avalia as mitigações, com lógica bidirecional: perguntas de risco somam até 75 pontos e perguntas de mitigação subtraem até 65 pontos. Os Blocos 5 e 6 concentram 44% da pontuação total. Essa concentração expressa a hierarquia de prioridades do instrumento: o que mais importa em pesquisa com seres humanos é o que o sistema pode fazer à pessoa participante e como seus dados são tratados.</w:t>
      </w:r>
    </w:p>
    <w:p w14:paraId="4C61516C" w14:textId="77777777" w:rsidR="007C3678" w:rsidRDefault="003B0470" w:rsidP="007C3678">
      <w:pPr>
        <w:pStyle w:val="font-claude-response-body"/>
        <w:spacing w:line="360" w:lineRule="auto"/>
        <w:ind w:firstLine="720"/>
        <w:contextualSpacing/>
        <w:jc w:val="both"/>
      </w:pPr>
      <w:r w:rsidRPr="00530DBD">
        <w:t xml:space="preserve">O Bloco 7 merece atenção específica porque opera de forma distinta dos demais. É o único bloco com lógica bidirecional. As perguntas de risco somam quando o pesquisador não adotou medidas de supervisão, explicabilidade ou monitoramento adequadas. As perguntas de mitigação subtraem quando essas medidas estão documentadas e verificáveis. A subtração não é automática: depende de que as medidas estejam descritas no protocolo com precisão suficiente para que o CEP </w:t>
      </w:r>
      <w:r w:rsidRPr="00530DBD">
        <w:lastRenderedPageBreak/>
        <w:t>as avalie como reais, não como declarações de intenção. Um protocolo que afirma que o sistema é supervisionado sem descrever o mecanismo de supervisão não obtém a subtração correspondente. A pontuação do Bloco 7 é a única que o pesquisador pode influenciar diretamente com as escolhas de desenho do estudo. É o bloco que recompensa protocolos bem construídos e penaliza protocolos que transferem o risco ao participante sem contramedidas documentadas.</w:t>
      </w:r>
    </w:p>
    <w:p w14:paraId="1BBAB03A" w14:textId="77777777" w:rsidR="00471359" w:rsidRDefault="003B0470" w:rsidP="00471359">
      <w:pPr>
        <w:pStyle w:val="font-claude-response-body"/>
        <w:spacing w:line="360" w:lineRule="auto"/>
        <w:ind w:firstLine="720"/>
        <w:contextualSpacing/>
        <w:jc w:val="both"/>
      </w:pPr>
      <w:r w:rsidRPr="00530DBD">
        <w:t>A soma dos sete blocos produz a classificação em um dos quatro níveis. O Nível I vai de 0 a 50 pontos. O Nível II vai de 51 a 110 pontos. O Nível III vai de 111 a 180 pontos. O Nível IV vai de 181 a 244 pontos. Cada nível determina os mesmos requisitos mínimos cumulativos descritos na IU.2. A diferença em relação à Versão A é que a Versão B permite ao CEP identificar em quais blocos o risco está concentrado e comunicar essa informação ao pesquisador com precisão. Um protocolo classificado no Nível III com concentração de pontuação nos Blocos 5 e 6 recebe solicitação de complementação diferente de um protocolo classificado no mesmo nível com concentração no Bloco 2. A granularidade da pontuação torna o parecer mais fundamentado e o pesquisador mais capaz de compreender o que precisa demonstrar para obter aprovação.</w:t>
      </w:r>
    </w:p>
    <w:p w14:paraId="07FF2270" w14:textId="15F60F6E" w:rsidR="003B0470" w:rsidRPr="00530DBD" w:rsidRDefault="003B0470" w:rsidP="00471359">
      <w:pPr>
        <w:pStyle w:val="font-claude-response-body"/>
        <w:spacing w:line="360" w:lineRule="auto"/>
        <w:ind w:firstLine="720"/>
        <w:contextualSpacing/>
        <w:jc w:val="both"/>
      </w:pPr>
      <w:r w:rsidRPr="00530DBD">
        <w:t>A regra crítica da Versão B é idêntica em princípio à da Versão A, mas opera por pontuação: a classificação final não pode ser alterada por decisão subjetiva do avaliador. As mitigações já estão incorporadas na pontuação do Bloco 7 e constituem a única forma legítima de reduzir a pontuação final. Declarações de intenção não documentadas não substituem evidências de controle efetivo do risco. O CEP que aplica a Versão B e obtém classificação no Nível IV não pode aprovar o protocolo com base em argumentos que a pontuação não reflete. Pode solicitar complementação que permita ao pesquisador reduzir a pontuação por meio de mitigações reais. Pode recusar com fundamentação baseada na pontuação e nos requisitos do nível. Não pode ignorar o resultado do instrumento que escolheu aplicar.</w:t>
      </w:r>
    </w:p>
    <w:p w14:paraId="4C5BF28C" w14:textId="77777777" w:rsidR="003B0470" w:rsidRPr="00530DBD" w:rsidRDefault="003B0470" w:rsidP="00530DBD">
      <w:pPr>
        <w:pStyle w:val="font-claude-response-body"/>
        <w:spacing w:line="360" w:lineRule="auto"/>
        <w:contextualSpacing/>
        <w:jc w:val="both"/>
      </w:pPr>
    </w:p>
    <w:p w14:paraId="72ED310B" w14:textId="77777777" w:rsidR="00037F2D" w:rsidRDefault="00014C4C" w:rsidP="00037F2D">
      <w:pPr>
        <w:pStyle w:val="font-claude-response-body"/>
        <w:spacing w:line="360" w:lineRule="auto"/>
        <w:contextualSpacing/>
        <w:jc w:val="both"/>
      </w:pPr>
      <w:r w:rsidRPr="00633BDF">
        <w:rPr>
          <w:rStyle w:val="Strong"/>
          <w:rFonts w:eastAsiaTheme="majorEastAsia"/>
        </w:rPr>
        <w:t>IU.4 Documentando a decisão</w:t>
      </w:r>
      <w:r w:rsidRPr="00530DBD">
        <w:t xml:space="preserve"> </w:t>
      </w:r>
    </w:p>
    <w:p w14:paraId="0CA2B043" w14:textId="77777777" w:rsidR="00E16F7C" w:rsidRDefault="002F122A" w:rsidP="00E16F7C">
      <w:pPr>
        <w:pStyle w:val="font-claude-response-body"/>
        <w:spacing w:line="360" w:lineRule="auto"/>
        <w:ind w:firstLine="720"/>
        <w:contextualSpacing/>
        <w:jc w:val="both"/>
      </w:pPr>
      <w:r w:rsidRPr="00530DBD">
        <w:t xml:space="preserve">Aplicar a </w:t>
      </w:r>
      <w:r w:rsidR="00E16F7C">
        <w:t xml:space="preserve">MARA </w:t>
      </w:r>
      <w:r w:rsidRPr="00530DBD">
        <w:t>sem registrar o resultado no processo de avaliação é aplicar o instrumento pela metade. O registro transforma a deliberação do CEP em jurisprudência institucional: o protocolo avaliado hoje forma o repertório que orienta a avaliação do protocolo semelhante que chegará no próximo semestre. Um comitê que não documenta suas decisões sobre protocolos com IA recomeça do zero a cada avaliação.</w:t>
      </w:r>
    </w:p>
    <w:p w14:paraId="472625CB" w14:textId="77777777" w:rsidR="003B3613" w:rsidRDefault="002F122A" w:rsidP="003B3613">
      <w:pPr>
        <w:pStyle w:val="font-claude-response-body"/>
        <w:spacing w:line="360" w:lineRule="auto"/>
        <w:ind w:firstLine="720"/>
        <w:contextualSpacing/>
        <w:jc w:val="both"/>
      </w:pPr>
      <w:r w:rsidRPr="00530DBD">
        <w:lastRenderedPageBreak/>
        <w:t xml:space="preserve">O registro mínimo obrigatório em qualquer parecer que utilizou a </w:t>
      </w:r>
      <w:r w:rsidR="00E16F7C">
        <w:t xml:space="preserve">MARA </w:t>
      </w:r>
      <w:r w:rsidRPr="00530DBD">
        <w:t>inclui quatro elementos. O primeiro é a identificação da versão utilizada: Versão A Qualitativa ou Versão B Quantitativa, com indicação de eventual uso combinado. O segundo é o resultado da aplicação: o nível de risco obtido em cada eixo, na Versão A, ou a pontuação por bloco e a pontuação total, na Versão B. O terceiro é a justificativa para decisões não óbvias: quando uma resposta de risco foi atribuída a uma dimensão onde o protocolo apresentava informação ambígua, o parecer deve registrar o raciocínio que fundamentou essa atribuição. O quarto é a tradução do nível em requisitos: quais requisitos mínimos do nível obtido o protocolo satisfez e quais estão ausentes, com indicação precisa do que o pesquisador deve complementar e em qual prazo.</w:t>
      </w:r>
    </w:p>
    <w:p w14:paraId="3EB8E409" w14:textId="77777777" w:rsidR="00FC2EC3" w:rsidRDefault="002F122A" w:rsidP="00FC2EC3">
      <w:pPr>
        <w:pStyle w:val="font-claude-response-body"/>
        <w:spacing w:line="360" w:lineRule="auto"/>
        <w:ind w:firstLine="720"/>
        <w:contextualSpacing/>
        <w:jc w:val="both"/>
      </w:pPr>
      <w:r w:rsidRPr="00530DBD">
        <w:t>Duas situações específicas exigem documentação adicional. A primeira é quando o CEP decide aprovar um protocolo com ressalvas num nível que normalmente exigiria recusa ou complementação substancial. Essa decisão precisa de fundamentação explícita que demonstre por que as circunstâncias específicas do protocolo justificam a exceção e quais salvaguardas adicionais foram exigidas como condição da aprovação. A segunda é quando membros do comitê divergiram na aplicação da matriz sobre o mesmo protocolo. A divergência deve ser registrada com as posições e os argumentos de cada lado, mesmo que a decisão final seja unânime. Divergências documentadas são o material mais rico para o desenvolvimento da competência institucional do CEP: revelam onde o instrumento precisa de orientação adicional e onde o comitê precisa de deliberação mais aprofundada.</w:t>
      </w:r>
    </w:p>
    <w:p w14:paraId="639237AF" w14:textId="77777777" w:rsidR="00D40662" w:rsidRDefault="002F122A" w:rsidP="00D40662">
      <w:pPr>
        <w:pStyle w:val="font-claude-response-body"/>
        <w:spacing w:line="360" w:lineRule="auto"/>
        <w:ind w:firstLine="720"/>
        <w:contextualSpacing/>
        <w:jc w:val="both"/>
      </w:pPr>
      <w:r w:rsidRPr="00530DBD">
        <w:t>Quando o resultado da matriz fundamenta uma recusa, o parecer deve citar explicitamente o nível obtido, os requisitos não atendidos e os artigos da Lei n.º 14.874/2024 e do Decreto n.º 12.651/2025 que sustentam a exigência não satisfeita. A recusa fundamentada na matriz não é decisão técnica do instrumento. É decisão ética do comitê, apoiada no instrumento. Essa distinção importa para o pesquisador que eventualmente recorra da decisão e para a instância que apreciar o recurso. O CEP não recusa porque a pontuação foi alta. Recusa porque o protocolo não demonstrou as garantias que a proteção dos participantes exige naquele nível de risco, conforme os princípios que a legislação brasileira estabelece e que a matriz operacionaliza.</w:t>
      </w:r>
    </w:p>
    <w:p w14:paraId="5D4B4913" w14:textId="0FB67BE8" w:rsidR="002F122A" w:rsidRPr="00530DBD" w:rsidRDefault="002F122A" w:rsidP="00D40662">
      <w:pPr>
        <w:pStyle w:val="font-claude-response-body"/>
        <w:spacing w:line="360" w:lineRule="auto"/>
        <w:ind w:firstLine="720"/>
        <w:contextualSpacing/>
        <w:jc w:val="both"/>
      </w:pPr>
      <w:r w:rsidRPr="00530DBD">
        <w:t>A Instrução de Uso</w:t>
      </w:r>
      <w:r w:rsidR="00D40662">
        <w:t xml:space="preserve"> da MARA</w:t>
      </w:r>
      <w:r w:rsidRPr="00530DBD">
        <w:t xml:space="preserve"> fecha com uma nota sobre o que o instrumento não faz. </w:t>
      </w:r>
      <w:r w:rsidR="00D40662">
        <w:t>Ela</w:t>
      </w:r>
      <w:r w:rsidRPr="00530DBD">
        <w:t xml:space="preserve"> não aprova nem reprova protocolos. Não substitui o julgamento do CEP. Não dispensa a deliberação colegiada. Não resolve os casos limítrofes. O que faz é tornar a avaliação mais sistemática, mais documentada e mais justificável. Torna visível o que o entusiasmo científico </w:t>
      </w:r>
      <w:r w:rsidRPr="00530DBD">
        <w:lastRenderedPageBreak/>
        <w:t>tende a obscurecer e o que a assimetria de conhecimento técnico tende a suprimir. O comitê que a utiliza com rigor não delega sua responsabilidade ao instrumento. Exerce essa responsabilidade com mais precisão.</w:t>
      </w:r>
    </w:p>
    <w:p w14:paraId="49A1AA0E" w14:textId="77777777" w:rsidR="002F122A" w:rsidRPr="00530DBD" w:rsidRDefault="002F122A" w:rsidP="00530DBD">
      <w:pPr>
        <w:pStyle w:val="font-claude-response-body"/>
        <w:spacing w:line="360" w:lineRule="auto"/>
        <w:contextualSpacing/>
        <w:jc w:val="both"/>
      </w:pPr>
    </w:p>
    <w:p w14:paraId="1CE5F17A" w14:textId="77777777" w:rsidR="00014C4C" w:rsidRPr="00530DBD" w:rsidRDefault="00014C4C" w:rsidP="00530DBD">
      <w:pPr>
        <w:spacing w:line="360" w:lineRule="auto"/>
        <w:contextualSpacing/>
        <w:jc w:val="both"/>
        <w:rPr>
          <w:rFonts w:ascii="Times New Roman" w:hAnsi="Times New Roman" w:cs="Times New Roman"/>
        </w:rPr>
      </w:pPr>
    </w:p>
    <w:sectPr w:rsidR="00014C4C" w:rsidRPr="00530DBD">
      <w:headerReference w:type="even" r:id="rId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C5387" w14:textId="77777777" w:rsidR="003767F3" w:rsidRDefault="003767F3" w:rsidP="00075863">
      <w:pPr>
        <w:spacing w:after="0" w:line="240" w:lineRule="auto"/>
      </w:pPr>
      <w:r>
        <w:separator/>
      </w:r>
    </w:p>
  </w:endnote>
  <w:endnote w:type="continuationSeparator" w:id="0">
    <w:p w14:paraId="789596F4" w14:textId="77777777" w:rsidR="003767F3" w:rsidRDefault="003767F3" w:rsidP="00075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DC61" w14:textId="77777777" w:rsidR="003767F3" w:rsidRDefault="003767F3" w:rsidP="00075863">
      <w:pPr>
        <w:spacing w:after="0" w:line="240" w:lineRule="auto"/>
      </w:pPr>
      <w:r>
        <w:separator/>
      </w:r>
    </w:p>
  </w:footnote>
  <w:footnote w:type="continuationSeparator" w:id="0">
    <w:p w14:paraId="74693938" w14:textId="77777777" w:rsidR="003767F3" w:rsidRDefault="003767F3" w:rsidP="00075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9150759"/>
      <w:docPartObj>
        <w:docPartGallery w:val="Page Numbers (Top of Page)"/>
        <w:docPartUnique/>
      </w:docPartObj>
    </w:sdtPr>
    <w:sdtContent>
      <w:p w14:paraId="7D534A8C" w14:textId="1DC168C4" w:rsidR="00075863" w:rsidRDefault="00075863" w:rsidP="00CF7E7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ADBDB3" w14:textId="77777777" w:rsidR="00075863" w:rsidRDefault="00075863" w:rsidP="0007586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9010141"/>
      <w:docPartObj>
        <w:docPartGallery w:val="Page Numbers (Top of Page)"/>
        <w:docPartUnique/>
      </w:docPartObj>
    </w:sdtPr>
    <w:sdtContent>
      <w:p w14:paraId="5F10B55F" w14:textId="227165AF" w:rsidR="00075863" w:rsidRDefault="00075863" w:rsidP="00CF7E7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3C09B40" w14:textId="77777777" w:rsidR="00075863" w:rsidRDefault="00075863" w:rsidP="00075863">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4C"/>
    <w:rsid w:val="00014C4C"/>
    <w:rsid w:val="00037F2D"/>
    <w:rsid w:val="00075863"/>
    <w:rsid w:val="00166CF6"/>
    <w:rsid w:val="001C0651"/>
    <w:rsid w:val="00211C90"/>
    <w:rsid w:val="00240B5F"/>
    <w:rsid w:val="002F122A"/>
    <w:rsid w:val="003328F8"/>
    <w:rsid w:val="00353337"/>
    <w:rsid w:val="003767F3"/>
    <w:rsid w:val="003B0470"/>
    <w:rsid w:val="003B3613"/>
    <w:rsid w:val="00471359"/>
    <w:rsid w:val="00480417"/>
    <w:rsid w:val="00514D57"/>
    <w:rsid w:val="00530DBD"/>
    <w:rsid w:val="00633BDF"/>
    <w:rsid w:val="0065464E"/>
    <w:rsid w:val="006D76B3"/>
    <w:rsid w:val="007401ED"/>
    <w:rsid w:val="007C3678"/>
    <w:rsid w:val="008971B3"/>
    <w:rsid w:val="008A6590"/>
    <w:rsid w:val="00A62363"/>
    <w:rsid w:val="00B17F49"/>
    <w:rsid w:val="00BF089D"/>
    <w:rsid w:val="00C25C66"/>
    <w:rsid w:val="00C80206"/>
    <w:rsid w:val="00D40662"/>
    <w:rsid w:val="00DA472E"/>
    <w:rsid w:val="00E16F7C"/>
    <w:rsid w:val="00F05CAC"/>
    <w:rsid w:val="00FA798D"/>
    <w:rsid w:val="00FB3D0A"/>
    <w:rsid w:val="00FC2EC3"/>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5D8C"/>
  <w15:chartTrackingRefBased/>
  <w15:docId w15:val="{50CBD414-D6A3-7D4E-A636-C8A93922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4C"/>
    <w:rPr>
      <w:rFonts w:eastAsiaTheme="majorEastAsia" w:cstheme="majorBidi"/>
      <w:color w:val="272727" w:themeColor="text1" w:themeTint="D8"/>
    </w:rPr>
  </w:style>
  <w:style w:type="paragraph" w:styleId="Title">
    <w:name w:val="Title"/>
    <w:basedOn w:val="Normal"/>
    <w:next w:val="Normal"/>
    <w:link w:val="TitleChar"/>
    <w:uiPriority w:val="10"/>
    <w:qFormat/>
    <w:rsid w:val="00014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4C"/>
    <w:pPr>
      <w:spacing w:before="160"/>
      <w:jc w:val="center"/>
    </w:pPr>
    <w:rPr>
      <w:i/>
      <w:iCs/>
      <w:color w:val="404040" w:themeColor="text1" w:themeTint="BF"/>
    </w:rPr>
  </w:style>
  <w:style w:type="character" w:customStyle="1" w:styleId="QuoteChar">
    <w:name w:val="Quote Char"/>
    <w:basedOn w:val="DefaultParagraphFont"/>
    <w:link w:val="Quote"/>
    <w:uiPriority w:val="29"/>
    <w:rsid w:val="00014C4C"/>
    <w:rPr>
      <w:i/>
      <w:iCs/>
      <w:color w:val="404040" w:themeColor="text1" w:themeTint="BF"/>
    </w:rPr>
  </w:style>
  <w:style w:type="paragraph" w:styleId="ListParagraph">
    <w:name w:val="List Paragraph"/>
    <w:basedOn w:val="Normal"/>
    <w:uiPriority w:val="34"/>
    <w:qFormat/>
    <w:rsid w:val="00014C4C"/>
    <w:pPr>
      <w:ind w:left="720"/>
      <w:contextualSpacing/>
    </w:pPr>
  </w:style>
  <w:style w:type="character" w:styleId="IntenseEmphasis">
    <w:name w:val="Intense Emphasis"/>
    <w:basedOn w:val="DefaultParagraphFont"/>
    <w:uiPriority w:val="21"/>
    <w:qFormat/>
    <w:rsid w:val="00014C4C"/>
    <w:rPr>
      <w:i/>
      <w:iCs/>
      <w:color w:val="0F4761" w:themeColor="accent1" w:themeShade="BF"/>
    </w:rPr>
  </w:style>
  <w:style w:type="paragraph" w:styleId="IntenseQuote">
    <w:name w:val="Intense Quote"/>
    <w:basedOn w:val="Normal"/>
    <w:next w:val="Normal"/>
    <w:link w:val="IntenseQuoteChar"/>
    <w:uiPriority w:val="30"/>
    <w:qFormat/>
    <w:rsid w:val="00014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C4C"/>
    <w:rPr>
      <w:i/>
      <w:iCs/>
      <w:color w:val="0F4761" w:themeColor="accent1" w:themeShade="BF"/>
    </w:rPr>
  </w:style>
  <w:style w:type="character" w:styleId="IntenseReference">
    <w:name w:val="Intense Reference"/>
    <w:basedOn w:val="DefaultParagraphFont"/>
    <w:uiPriority w:val="32"/>
    <w:qFormat/>
    <w:rsid w:val="00014C4C"/>
    <w:rPr>
      <w:b/>
      <w:bCs/>
      <w:smallCaps/>
      <w:color w:val="0F4761" w:themeColor="accent1" w:themeShade="BF"/>
      <w:spacing w:val="5"/>
    </w:rPr>
  </w:style>
  <w:style w:type="paragraph" w:customStyle="1" w:styleId="font-claude-response-body">
    <w:name w:val="font-claude-response-body"/>
    <w:basedOn w:val="Normal"/>
    <w:rsid w:val="00014C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4C4C"/>
    <w:rPr>
      <w:b/>
      <w:bCs/>
    </w:rPr>
  </w:style>
  <w:style w:type="paragraph" w:styleId="NormalWeb">
    <w:name w:val="Normal (Web)"/>
    <w:basedOn w:val="Normal"/>
    <w:uiPriority w:val="99"/>
    <w:semiHidden/>
    <w:unhideWhenUsed/>
    <w:rsid w:val="00B17F4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A7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5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863"/>
  </w:style>
  <w:style w:type="character" w:styleId="PageNumber">
    <w:name w:val="page number"/>
    <w:basedOn w:val="DefaultParagraphFont"/>
    <w:uiPriority w:val="99"/>
    <w:semiHidden/>
    <w:unhideWhenUsed/>
    <w:rsid w:val="00075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2422</Words>
  <Characters>12864</Characters>
  <Application>Microsoft Office Word</Application>
  <DocSecurity>0</DocSecurity>
  <Lines>201</Lines>
  <Paragraphs>41</Paragraphs>
  <ScaleCrop>false</ScaleCrop>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Fabiano Tonaco Borges</dc:creator>
  <cp:keywords/>
  <dc:description/>
  <cp:lastModifiedBy>Fabiano Tonaco Borges</cp:lastModifiedBy>
  <cp:revision>31</cp:revision>
  <dcterms:created xsi:type="dcterms:W3CDTF">2026-04-01T21:32:00Z</dcterms:created>
  <dcterms:modified xsi:type="dcterms:W3CDTF">2026-04-06T14:09:00Z</dcterms:modified>
</cp:coreProperties>
</file>