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97F90E"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color w:val="6B7280"/>
          <w:sz w:val="24"/>
          <w:szCs w:val="24"/>
        </w:rPr>
        <w:t>Suplemento a la Nota Técnica de Premisas</w:t>
      </w:r>
    </w:p>
    <w:p w14:paraId="2D3A66E1" w14:textId="77777777" w:rsidR="00973582" w:rsidRPr="00F330B8" w:rsidRDefault="00000000" w:rsidP="00F330B8">
      <w:pPr>
        <w:spacing w:after="40" w:line="360" w:lineRule="auto"/>
        <w:contextualSpacing/>
        <w:jc w:val="both"/>
        <w:rPr>
          <w:rFonts w:ascii="Times New Roman" w:hAnsi="Times New Roman" w:cs="Times New Roman"/>
          <w:sz w:val="24"/>
          <w:szCs w:val="24"/>
        </w:rPr>
      </w:pPr>
      <w:r>
        <w:rPr>
          <w:rFonts w:ascii="Times New Roman" w:hAnsi="Times New Roman" w:cs="Times New Roman"/>
          <w:b/>
          <w:bCs/>
          <w:color w:val="0F766E"/>
          <w:sz w:val="24"/>
          <w:szCs w:val="24"/>
        </w:rPr>
        <w:t xml:space="preserve">Mecanismos de salvaguarda automática en la MARIAH </w:t>
      </w:r>
    </w:p>
    <w:p w14:paraId="34898295" w14:textId="77777777" w:rsidR="00973582" w:rsidRPr="00F330B8" w:rsidRDefault="00000000" w:rsidP="00F330B8">
      <w:pPr>
        <w:spacing w:after="200" w:line="360" w:lineRule="auto"/>
        <w:contextualSpacing/>
        <w:jc w:val="both"/>
        <w:rPr>
          <w:rFonts w:ascii="Times New Roman" w:hAnsi="Times New Roman" w:cs="Times New Roman"/>
          <w:sz w:val="24"/>
          <w:szCs w:val="24"/>
        </w:rPr>
      </w:pPr>
      <w:r>
        <w:rPr>
          <w:rFonts w:ascii="Times New Roman" w:hAnsi="Times New Roman" w:cs="Times New Roman"/>
          <w:color w:val="6B7280"/>
          <w:sz w:val="24"/>
          <w:szCs w:val="24"/>
        </w:rPr>
        <w:t>MARIAH Matriz de Evaluación de Riesgo de Inteligencia Artificial en Investigación con Seres Humanos · Versión preliminar · Julio de 2026</w:t>
      </w:r>
    </w:p>
    <w:p w14:paraId="34898295" w14:textId="77777777" w:rsidR="00973582" w:rsidRPr="00F330B8" w:rsidRDefault="00000000" w:rsidP="00F330B8">
      <w:pPr>
        <w:spacing w:after="200" w:line="360" w:lineRule="auto"/>
        <w:contextualSpacing/>
        <w:jc w:val="both"/>
        <w:rPr>
          <w:rFonts w:ascii="Times New Roman" w:hAnsi="Times New Roman" w:cs="Times New Roman"/>
          <w:sz w:val="24"/>
          <w:szCs w:val="24"/>
        </w:rPr>
      </w:pPr>
      <w:r>
        <w:rPr>
          <w:rFonts w:ascii="Times New Roman" w:hAnsi="Times New Roman" w:cs="Times New Roman"/>
          <w:color w:val="6B7280"/>
          <w:i/>
          <w:sz w:val="18"/>
          <w:szCs w:val="18"/>
        </w:rPr>
        <w:t>Esta es una traducción de cortesía. La versión normativa vigente es la versión en portugués (pt-BR).</w:t>
      </w:r>
    </w:p>
    <w:p w14:paraId="1A63547D" w14:textId="77777777" w:rsidR="00973582" w:rsidRPr="00F330B8" w:rsidRDefault="00F330B8" w:rsidP="00F330B8">
      <w:pPr>
        <w:spacing w:after="120" w:line="360" w:lineRule="auto"/>
        <w:ind w:firstLine="720"/>
        <w:contextualSpacing/>
        <w:jc w:val="both"/>
        <w:rPr>
          <w:rFonts w:ascii="Times New Roman" w:hAnsi="Times New Roman" w:cs="Times New Roman"/>
          <w:sz w:val="24"/>
          <w:szCs w:val="24"/>
        </w:rPr>
      </w:pPr>
      <w:r>
        <w:rPr>
          <w:rFonts w:ascii="Times New Roman" w:hAnsi="Times New Roman" w:cs="Times New Roman"/>
          <w:sz w:val="24"/>
          <w:szCs w:val="24"/>
        </w:rPr>
        <w:t>Este suplemento explica los cuatro mecanismos de salvaguarda automática de la MARIAH, que ignoran la lógica de gradiente del instrumento y obligan a elevar o a rechazar la clasificación con base en una condición categórica. El texto es técnico, dirigido a las y los integrantes del Grupo de Trabajo, y puede leerse de forma aislada o insertarse como sección de la Nota Técnica de Premisas. Amplía la versión anterior, que cubría solo el disparador del Eje 3.b.</w:t>
      </w:r>
    </w:p>
    <w:p w14:paraId="6FAD0863" w14:textId="77777777" w:rsidR="00973582" w:rsidRPr="00F330B8" w:rsidRDefault="00000000" w:rsidP="00F330B8">
      <w:pPr>
        <w:pStyle w:val="Heading1"/>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1. Por qué la MARIAH adopta salvaguardas</w:t>
      </w:r>
    </w:p>
    <w:p w14:paraId="5C27BB05" w14:textId="77777777" w:rsidR="00973582" w:rsidRPr="00F330B8" w:rsidRDefault="00000000" w:rsidP="00F330B8">
      <w:pPr>
        <w:spacing w:after="120" w:line="360" w:lineRule="auto"/>
        <w:ind w:firstLine="720"/>
        <w:contextualSpacing/>
        <w:jc w:val="both"/>
        <w:rPr>
          <w:rFonts w:ascii="Times New Roman" w:hAnsi="Times New Roman" w:cs="Times New Roman"/>
          <w:sz w:val="24"/>
          <w:szCs w:val="24"/>
        </w:rPr>
      </w:pPr>
      <w:r>
        <w:rPr>
          <w:rFonts w:ascii="Times New Roman" w:hAnsi="Times New Roman" w:cs="Times New Roman"/>
          <w:sz w:val="24"/>
          <w:szCs w:val="24"/>
        </w:rPr>
        <w:t xml:space="preserve">En ambas versiones, la MARIAH parte de una lógica de gradiente: el riesgo del protocolo crece de forma incremental, ya sea con el número de respuestas de riesgo por eje (Versión A), ya sea con la suma de puntos entre bloques (Versión B). Sobre esa lógica de gradiente, la matriz superpone cuatro mecanismos que la interrumpen: una vez satisfecha determinada condición, la clasificación se define por un criterio deontológico, y no estadístico, que sobrescribe lo que indicarían el conteo o la suma.</w:t>
      </w:r>
    </w:p>
    <w:p w14:paraId="7B3E8ECC" w14:textId="77777777" w:rsidR="00973582" w:rsidRPr="00F330B8" w:rsidRDefault="00000000" w:rsidP="00D022B7">
      <w:pPr>
        <w:spacing w:after="120" w:line="360" w:lineRule="auto"/>
        <w:ind w:firstLine="720"/>
        <w:contextualSpacing/>
        <w:jc w:val="both"/>
        <w:rPr>
          <w:rFonts w:ascii="Times New Roman" w:hAnsi="Times New Roman" w:cs="Times New Roman"/>
          <w:sz w:val="24"/>
          <w:szCs w:val="24"/>
        </w:rPr>
      </w:pPr>
      <w:r>
        <w:rPr>
          <w:rFonts w:ascii="Times New Roman" w:hAnsi="Times New Roman" w:cs="Times New Roman"/>
          <w:sz w:val="24"/>
          <w:szCs w:val="24"/>
        </w:rPr>
        <w:t xml:space="preserve">La razón es sustantiva, porque ciertas condiciones éticas no se manifiestan en gradiente: su simple presencia ya es decisiva. </w:t>
      </w:r>
      <w:r>
        <w:rPr>
          <w:rFonts w:ascii="Times New Roman" w:hAnsi="Times New Roman" w:cs="Times New Roman"/>
          <w:sz w:val="24"/>
          <w:szCs w:val="24"/>
          <w:u w:val="single"/>
        </w:rPr>
        <w:t>No existe, en la práctica, una «violación moderada de la confidencialidad», un «consentimiento parcialmente válido» ni un «daño irreversible de poca monta».</w:t>
      </w:r>
      <w:r>
        <w:rPr>
          <w:rFonts w:ascii="Times New Roman" w:hAnsi="Times New Roman" w:cs="Times New Roman"/>
          <w:sz w:val="24"/>
          <w:szCs w:val="24"/>
        </w:rPr>
        <w:t xml:space="preserve"> Tratar esas condiciones por la media o por la suma las diluiría en puntuaciones agregadas, justamente donde el instrumento necesita ser más sensible. Los cuatro disparadores son, por lo tanto, salvaguardas de precaución: asimetrías asumidas como tales, que prefieren clasificar de más antes que dejar pasar de menos.</w:t>
      </w:r>
    </w:p>
    <w:p w14:paraId="29F91C1A" w14:textId="77777777" w:rsidR="00973582" w:rsidRPr="00F330B8" w:rsidRDefault="00000000" w:rsidP="00D022B7">
      <w:pPr>
        <w:spacing w:after="120" w:line="360" w:lineRule="auto"/>
        <w:ind w:firstLine="720"/>
        <w:contextualSpacing/>
        <w:jc w:val="both"/>
        <w:rPr>
          <w:rFonts w:ascii="Times New Roman" w:hAnsi="Times New Roman" w:cs="Times New Roman"/>
          <w:sz w:val="24"/>
          <w:szCs w:val="24"/>
        </w:rPr>
      </w:pPr>
      <w:r>
        <w:rPr>
          <w:rFonts w:ascii="Times New Roman" w:hAnsi="Times New Roman" w:cs="Times New Roman"/>
          <w:sz w:val="24"/>
          <w:szCs w:val="24"/>
        </w:rPr>
        <w:t xml:space="preserve">Los cuatro mecanismos comparten la misma estructura (una condición categórica que, una vez cumplida, prevalece sobre el gradiente), pero actúan en puntos distintos del instrumento, según la Tabla 1.</w:t>
      </w:r>
    </w:p>
    <w:p w14:paraId="54B7CBD0" w14:textId="77777777" w:rsidR="00D022B7" w:rsidRDefault="00D022B7" w:rsidP="00F330B8">
      <w:pPr>
        <w:pStyle w:val="Heading2"/>
        <w:spacing w:before="120" w:after="60" w:line="360" w:lineRule="auto"/>
        <w:contextualSpacing/>
        <w:jc w:val="both"/>
        <w:rPr>
          <w:rFonts w:ascii="Times New Roman" w:hAnsi="Times New Roman" w:cs="Times New Roman"/>
          <w:sz w:val="24"/>
          <w:szCs w:val="24"/>
        </w:rPr>
      </w:pPr>
    </w:p>
    <w:p w14:paraId="2A12D783" w14:textId="77777777" w:rsidR="00D022B7" w:rsidRDefault="00D022B7" w:rsidP="00F330B8">
      <w:pPr>
        <w:pStyle w:val="Heading2"/>
        <w:spacing w:before="120" w:after="60" w:line="360" w:lineRule="auto"/>
        <w:contextualSpacing/>
        <w:jc w:val="both"/>
        <w:rPr>
          <w:rFonts w:ascii="Times New Roman" w:hAnsi="Times New Roman" w:cs="Times New Roman"/>
          <w:sz w:val="24"/>
          <w:szCs w:val="24"/>
        </w:rPr>
      </w:pPr>
    </w:p>
    <w:p w14:paraId="2FE2741D" w14:textId="77777777" w:rsidR="00D022B7" w:rsidRDefault="00D022B7" w:rsidP="00F330B8">
      <w:pPr>
        <w:pStyle w:val="Heading2"/>
        <w:spacing w:before="120" w:after="60" w:line="360" w:lineRule="auto"/>
        <w:contextualSpacing/>
        <w:jc w:val="both"/>
        <w:rPr>
          <w:rFonts w:ascii="Times New Roman" w:hAnsi="Times New Roman" w:cs="Times New Roman"/>
          <w:sz w:val="24"/>
          <w:szCs w:val="24"/>
        </w:rPr>
      </w:pPr>
    </w:p>
    <w:p w14:paraId="1D8D46DE" w14:textId="77777777" w:rsidR="00D022B7" w:rsidRDefault="00D022B7" w:rsidP="00F330B8">
      <w:pPr>
        <w:pStyle w:val="Heading2"/>
        <w:spacing w:before="120" w:after="60" w:line="360" w:lineRule="auto"/>
        <w:contextualSpacing/>
        <w:jc w:val="both"/>
        <w:rPr>
          <w:rFonts w:ascii="Times New Roman" w:hAnsi="Times New Roman" w:cs="Times New Roman"/>
          <w:sz w:val="24"/>
          <w:szCs w:val="24"/>
        </w:rPr>
      </w:pPr>
    </w:p>
    <w:p w14:paraId="4FE46D51" w14:textId="77777777" w:rsidR="00D022B7" w:rsidRDefault="00D022B7" w:rsidP="00F330B8">
      <w:pPr>
        <w:pStyle w:val="Heading2"/>
        <w:spacing w:before="120" w:after="60" w:line="360" w:lineRule="auto"/>
        <w:contextualSpacing/>
        <w:jc w:val="both"/>
        <w:rPr>
          <w:rFonts w:ascii="Times New Roman" w:hAnsi="Times New Roman" w:cs="Times New Roman"/>
          <w:sz w:val="24"/>
          <w:szCs w:val="24"/>
        </w:rPr>
      </w:pPr>
    </w:p>
    <w:p w14:paraId="09429EE3" w14:textId="77777777" w:rsidR="00D022B7" w:rsidRDefault="00D022B7" w:rsidP="00F330B8">
      <w:pPr>
        <w:pStyle w:val="Heading2"/>
        <w:spacing w:before="120" w:after="60" w:line="360" w:lineRule="auto"/>
        <w:contextualSpacing/>
        <w:jc w:val="both"/>
        <w:rPr>
          <w:rFonts w:ascii="Times New Roman" w:hAnsi="Times New Roman" w:cs="Times New Roman"/>
          <w:sz w:val="24"/>
          <w:szCs w:val="24"/>
        </w:rPr>
      </w:pPr>
    </w:p>
    <w:p w14:paraId="5BD61180" w14:textId="77777777" w:rsidR="00973582" w:rsidRPr="00F330B8" w:rsidRDefault="00000000" w:rsidP="003E0989">
      <w:pPr>
        <w:pStyle w:val="Heading2"/>
        <w:spacing w:before="120" w:after="60" w:line="360" w:lineRule="auto"/>
        <w:contextualSpacing/>
        <w:jc w:val="center"/>
        <w:rPr>
          <w:rFonts w:ascii="Times New Roman" w:hAnsi="Times New Roman" w:cs="Times New Roman"/>
          <w:sz w:val="24"/>
          <w:szCs w:val="24"/>
        </w:rPr>
      </w:pPr>
      <w:r>
        <w:rPr>
          <w:rFonts w:ascii="Times New Roman" w:hAnsi="Times New Roman" w:cs="Times New Roman"/>
          <w:sz w:val="24"/>
          <w:szCs w:val="24"/>
        </w:rPr>
        <w:t>Tabla 1 Visión general de los cuatro disparadores de salvaguarda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8"/>
        <w:gridCol w:w="1513"/>
        <w:gridCol w:w="2366"/>
        <w:gridCol w:w="2639"/>
      </w:tblGrid>
      <w:tr w:rsidR="00973582" w:rsidRPr="00F330B8" w14:paraId="391146A6" w14:textId="77777777" w:rsidTr="00D022B7">
        <w:trPr>
          <w:tblHeader/>
        </w:trPr>
        <w:tc>
          <w:tcPr>
            <w:tcW w:w="2508" w:type="dxa"/>
            <w:tcBorders>
              <w:top w:val="single" w:sz="1" w:space="0" w:color="CCCCCC"/>
              <w:left w:val="single" w:sz="1" w:space="0" w:color="CCCCCC"/>
              <w:bottom w:val="single" w:sz="1" w:space="0" w:color="CCCCCC"/>
              <w:right w:val="single" w:sz="1" w:space="0" w:color="CCCCCC"/>
            </w:tcBorders>
            <w:shd w:val="clear" w:color="auto" w:fill="D5E8F0"/>
            <w:tcMar>
              <w:top w:w="60" w:type="dxa"/>
              <w:left w:w="110" w:type="dxa"/>
              <w:bottom w:w="60" w:type="dxa"/>
              <w:right w:w="110" w:type="dxa"/>
            </w:tcMar>
          </w:tcPr>
          <w:p w14:paraId="3E6A4DB1"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b/>
                <w:bCs/>
                <w:sz w:val="24"/>
                <w:szCs w:val="24"/>
              </w:rPr>
              <w:t>Disparador</w:t>
            </w:r>
          </w:p>
        </w:tc>
        <w:tc>
          <w:tcPr>
            <w:tcW w:w="1513" w:type="dxa"/>
            <w:tcBorders>
              <w:top w:val="single" w:sz="1" w:space="0" w:color="CCCCCC"/>
              <w:left w:val="single" w:sz="1" w:space="0" w:color="CCCCCC"/>
              <w:bottom w:val="single" w:sz="1" w:space="0" w:color="CCCCCC"/>
              <w:right w:val="single" w:sz="1" w:space="0" w:color="CCCCCC"/>
            </w:tcBorders>
            <w:shd w:val="clear" w:color="auto" w:fill="D5E8F0"/>
            <w:tcMar>
              <w:top w:w="60" w:type="dxa"/>
              <w:left w:w="110" w:type="dxa"/>
              <w:bottom w:w="60" w:type="dxa"/>
              <w:right w:w="110" w:type="dxa"/>
            </w:tcMar>
          </w:tcPr>
          <w:p w14:paraId="0F335240"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b/>
                <w:bCs/>
                <w:sz w:val="24"/>
                <w:szCs w:val="24"/>
              </w:rPr>
              <w:t>Versión</w:t>
            </w:r>
          </w:p>
        </w:tc>
        <w:tc>
          <w:tcPr>
            <w:tcW w:w="2366" w:type="dxa"/>
            <w:tcBorders>
              <w:top w:val="single" w:sz="1" w:space="0" w:color="CCCCCC"/>
              <w:left w:val="single" w:sz="1" w:space="0" w:color="CCCCCC"/>
              <w:bottom w:val="single" w:sz="1" w:space="0" w:color="CCCCCC"/>
              <w:right w:val="single" w:sz="1" w:space="0" w:color="CCCCCC"/>
            </w:tcBorders>
            <w:shd w:val="clear" w:color="auto" w:fill="D5E8F0"/>
            <w:tcMar>
              <w:top w:w="60" w:type="dxa"/>
              <w:left w:w="110" w:type="dxa"/>
              <w:bottom w:w="60" w:type="dxa"/>
              <w:right w:w="110" w:type="dxa"/>
            </w:tcMar>
          </w:tcPr>
          <w:p w14:paraId="3EE717A6"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b/>
                <w:bCs/>
                <w:sz w:val="24"/>
                <w:szCs w:val="24"/>
              </w:rPr>
              <w:t>Condición de activación</w:t>
            </w:r>
          </w:p>
        </w:tc>
        <w:tc>
          <w:tcPr>
            <w:tcW w:w="2639" w:type="dxa"/>
            <w:tcBorders>
              <w:top w:val="single" w:sz="1" w:space="0" w:color="CCCCCC"/>
              <w:left w:val="single" w:sz="1" w:space="0" w:color="CCCCCC"/>
              <w:bottom w:val="single" w:sz="1" w:space="0" w:color="CCCCCC"/>
              <w:right w:val="single" w:sz="1" w:space="0" w:color="CCCCCC"/>
            </w:tcBorders>
            <w:shd w:val="clear" w:color="auto" w:fill="D5E8F0"/>
            <w:tcMar>
              <w:top w:w="60" w:type="dxa"/>
              <w:left w:w="110" w:type="dxa"/>
              <w:bottom w:w="60" w:type="dxa"/>
              <w:right w:w="110" w:type="dxa"/>
            </w:tcMar>
          </w:tcPr>
          <w:p w14:paraId="42831033"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b/>
                <w:bCs/>
                <w:sz w:val="24"/>
                <w:szCs w:val="24"/>
              </w:rPr>
              <w:t>Efecto sobre la clasificación</w:t>
            </w:r>
          </w:p>
        </w:tc>
      </w:tr>
      <w:tr w:rsidR="00973582" w:rsidRPr="00F330B8" w14:paraId="68AD9EAA" w14:textId="77777777" w:rsidTr="00D022B7">
        <w:tc>
          <w:tcPr>
            <w:tcW w:w="2508"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66D02B24"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1. Regla especial del Eje 3.b (Salvaguarda de la Res. 738/2024)</w:t>
            </w:r>
          </w:p>
        </w:tc>
        <w:tc>
          <w:tcPr>
            <w:tcW w:w="1513"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5B13DFF0"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A (cualitativa)</w:t>
            </w:r>
          </w:p>
        </w:tc>
        <w:tc>
          <w:tcPr>
            <w:tcW w:w="2366"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2482EE8E"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1 o más respuestas de riesgo en el Eje 3.b</w:t>
            </w:r>
          </w:p>
        </w:tc>
        <w:tc>
          <w:tcPr>
            <w:tcW w:w="2639"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4E06746F"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El eje salta el Nivel II (1–2 → III; 3+ → IV); por la regla del máximo, eleva el nivel final</w:t>
            </w:r>
          </w:p>
        </w:tc>
      </w:tr>
      <w:tr w:rsidR="00973582" w:rsidRPr="00F330B8" w14:paraId="2646D9C3" w14:textId="77777777" w:rsidTr="00D022B7">
        <w:tc>
          <w:tcPr>
            <w:tcW w:w="2508"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67ACBF84"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2. Cláusula de Primacía Ética (Salvaguarda Decisoria)</w:t>
            </w:r>
          </w:p>
        </w:tc>
        <w:tc>
          <w:tcPr>
            <w:tcW w:w="1513"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693C0A09"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B (cuantitativa)</w:t>
            </w:r>
          </w:p>
        </w:tc>
        <w:tc>
          <w:tcPr>
            <w:tcW w:w="2366"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3F59E85E"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P4.1 o P4.2 = «Sí»</w:t>
            </w:r>
          </w:p>
        </w:tc>
        <w:tc>
          <w:tcPr>
            <w:tcW w:w="2639"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7734239B"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Eleva obligatoriamente al Nivel IV, sobrescribiendo la suma total de los bloques</w:t>
            </w:r>
          </w:p>
        </w:tc>
      </w:tr>
      <w:tr w:rsidR="00973582" w:rsidRPr="00F330B8" w14:paraId="29D1C5D0" w14:textId="77777777" w:rsidTr="00D022B7">
        <w:tc>
          <w:tcPr>
            <w:tcW w:w="2508"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071CC943"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3. Eliminatoria de cadena de custodia (Salvaguarda de Inevaluabilidad — Res. 738/2024)</w:t>
            </w:r>
          </w:p>
        </w:tc>
        <w:tc>
          <w:tcPr>
            <w:tcW w:w="1513"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7661C463"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A y B</w:t>
            </w:r>
          </w:p>
        </w:tc>
        <w:tc>
          <w:tcPr>
            <w:tcW w:w="2366"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1FB7FAE2"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Ausencia de cadena de custodia formalizada de los datos</w:t>
            </w:r>
          </w:p>
        </w:tc>
        <w:tc>
          <w:tcPr>
            <w:tcW w:w="2639"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70207FBF"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Clasifica el protocolo como «no evaluable por la MARIAH»</w:t>
            </w:r>
          </w:p>
        </w:tc>
      </w:tr>
      <w:tr w:rsidR="00973582" w:rsidRPr="00F330B8" w14:paraId="5A000001" w14:textId="77777777" w:rsidTr="00D022B7">
        <w:tc>
          <w:tcPr>
            <w:tcW w:w="2508"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5A000002"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4. Diligencia impeditiva de nuevo consentimiento (Ley 14.874/2024 + LGPD)</w:t>
            </w:r>
          </w:p>
        </w:tc>
        <w:tc>
          <w:tcPr>
            <w:tcW w:w="1513"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5A000003"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A y B</w:t>
            </w:r>
          </w:p>
        </w:tc>
        <w:tc>
          <w:tcPr>
            <w:tcW w:w="2366"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5A000004"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Sistema adaptativo (1.2 / P2.2 = Sí) sin plan de nuevo consentimiento</w:t>
            </w:r>
          </w:p>
        </w:tc>
        <w:tc>
          <w:tcPr>
            <w:tcW w:w="2639"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5A000005"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Clasifica el protocolo como «no evaluable por la MARIAH»</w:t>
            </w:r>
          </w:p>
        </w:tc>
      </w:tr>
    </w:tbl>
    <w:p w14:paraId="6F9E86F7" w14:textId="77777777" w:rsidR="00120BC4" w:rsidRDefault="00000000">
      <w:pPr>
        <w:spacing w:after="120"/>
        <w:jc w:val="both"/>
      </w:pPr>
      <w:r>
        <w:rPr>
          <w:rFonts w:ascii="Times New Roman" w:hAnsi="Times New Roman"/>
          <w:i/>
          <w:sz w:val="24"/>
        </w:rPr>
        <w:t>Las secciones siguientes detallan cada disparador. Los dos primeros reciben un tratamiento completo: qué hace, por qué lo hace, cómo interactúa con la matriz, escenarios y crítica honesta. Los dos últimos, por ser salidas categoriales distintas, se presentan en conjunto.</w:t>
      </w:r>
    </w:p>
    <w:p w14:paraId="2FAC99BB" w14:textId="77777777" w:rsidR="00D022B7" w:rsidRDefault="00D022B7" w:rsidP="00F330B8">
      <w:pPr>
        <w:pStyle w:val="Heading1"/>
        <w:spacing w:line="360" w:lineRule="auto"/>
        <w:contextualSpacing/>
        <w:jc w:val="both"/>
        <w:rPr>
          <w:rFonts w:ascii="Times New Roman" w:hAnsi="Times New Roman" w:cs="Times New Roman"/>
          <w:sz w:val="24"/>
          <w:szCs w:val="24"/>
        </w:rPr>
      </w:pPr>
    </w:p>
    <w:p w14:paraId="0B927946" w14:textId="77777777" w:rsidR="00973582" w:rsidRPr="00F330B8" w:rsidRDefault="00000000" w:rsidP="00F330B8">
      <w:pPr>
        <w:pStyle w:val="Heading1"/>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2. Disparador 1 Regla especial del Eje 3.b (Res. CNS n.º 738/2024), Versión A</w:t>
      </w:r>
    </w:p>
    <w:p w14:paraId="0D4319D8" w14:textId="77777777" w:rsidR="00973582" w:rsidRPr="00F330B8" w:rsidRDefault="00000000" w:rsidP="00D022B7">
      <w:pPr>
        <w:spacing w:after="120" w:line="360" w:lineRule="auto"/>
        <w:ind w:firstLine="720"/>
        <w:contextualSpacing/>
        <w:jc w:val="both"/>
        <w:rPr>
          <w:rFonts w:ascii="Times New Roman" w:hAnsi="Times New Roman" w:cs="Times New Roman"/>
          <w:sz w:val="24"/>
          <w:szCs w:val="24"/>
        </w:rPr>
      </w:pPr>
      <w:r>
        <w:rPr>
          <w:rFonts w:ascii="Times New Roman" w:hAnsi="Times New Roman" w:cs="Times New Roman"/>
          <w:sz w:val="24"/>
          <w:szCs w:val="24"/>
        </w:rPr>
        <w:t>El Eje 3.b está condicionado a la aplicación de la Resolución CNS n.º 738/2024 sobre bancos de datos de investigación. Su regla de consolidación difiere de la utilizada en los demás ejes y, por eso, merece una explicación sustantiva.</w:t>
      </w:r>
    </w:p>
    <w:p w14:paraId="62433BC6" w14:textId="77777777" w:rsidR="00973582" w:rsidRPr="00F330B8" w:rsidRDefault="00000000" w:rsidP="00F330B8">
      <w:pPr>
        <w:pStyle w:val="Heading2"/>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2.1 Qué establece la regla</w:t>
      </w:r>
    </w:p>
    <w:p w14:paraId="4858FFA2" w14:textId="77777777" w:rsidR="00973582" w:rsidRPr="00F330B8" w:rsidRDefault="00000000" w:rsidP="00D022B7">
      <w:pPr>
        <w:spacing w:after="120" w:line="360" w:lineRule="auto"/>
        <w:ind w:firstLine="720"/>
        <w:contextualSpacing/>
        <w:jc w:val="both"/>
        <w:rPr>
          <w:rFonts w:ascii="Times New Roman" w:hAnsi="Times New Roman" w:cs="Times New Roman"/>
          <w:sz w:val="24"/>
          <w:szCs w:val="24"/>
        </w:rPr>
      </w:pPr>
      <w:r>
        <w:rPr>
          <w:rFonts w:ascii="Times New Roman" w:hAnsi="Times New Roman" w:cs="Times New Roman"/>
          <w:sz w:val="24"/>
          <w:szCs w:val="24"/>
        </w:rPr>
        <w:t>La regla del Eje 3.b opera según la Tabla 2. La comparación con la regla estándar de los demás ejes (Ejes 1, 2, 3, 4 y 5) figura en la Tabla 3.</w:t>
      </w:r>
    </w:p>
    <w:p w14:paraId="1953C87D" w14:textId="77777777" w:rsidR="00973582" w:rsidRPr="00F330B8" w:rsidRDefault="00000000" w:rsidP="00D022B7">
      <w:pPr>
        <w:pStyle w:val="Heading2"/>
        <w:spacing w:before="120" w:after="60" w:line="360" w:lineRule="auto"/>
        <w:contextualSpacing/>
        <w:jc w:val="center"/>
        <w:rPr>
          <w:rFonts w:ascii="Times New Roman" w:hAnsi="Times New Roman" w:cs="Times New Roman"/>
          <w:sz w:val="24"/>
          <w:szCs w:val="24"/>
        </w:rPr>
      </w:pPr>
      <w:r>
        <w:rPr>
          <w:rFonts w:ascii="Times New Roman" w:hAnsi="Times New Roman" w:cs="Times New Roman"/>
          <w:sz w:val="24"/>
          <w:szCs w:val="24"/>
        </w:rPr>
        <w:t>Tabla 2 Regla del Eje 3.b (Res. CNS n.º 738/2024)</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73582" w:rsidRPr="00F330B8" w14:paraId="2FA96309" w14:textId="77777777">
        <w:trPr>
          <w:tblHeader/>
        </w:trPr>
        <w:tc>
          <w:tcPr>
            <w:tcW w:w="4513" w:type="dxa"/>
            <w:tcBorders>
              <w:top w:val="single" w:sz="1" w:space="0" w:color="CCCCCC"/>
              <w:left w:val="single" w:sz="1" w:space="0" w:color="CCCCCC"/>
              <w:bottom w:val="single" w:sz="1" w:space="0" w:color="CCCCCC"/>
              <w:right w:val="single" w:sz="1" w:space="0" w:color="CCCCCC"/>
            </w:tcBorders>
            <w:shd w:val="clear" w:color="auto" w:fill="D5E8F0"/>
            <w:tcMar>
              <w:top w:w="60" w:type="dxa"/>
              <w:left w:w="110" w:type="dxa"/>
              <w:bottom w:w="60" w:type="dxa"/>
              <w:right w:w="110" w:type="dxa"/>
            </w:tcMar>
          </w:tcPr>
          <w:p w14:paraId="3E3F26B2"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b/>
                <w:bCs/>
                <w:sz w:val="24"/>
                <w:szCs w:val="24"/>
              </w:rPr>
              <w:t>Cantidad de respuestas de riesgo</w:t>
            </w:r>
          </w:p>
        </w:tc>
        <w:tc>
          <w:tcPr>
            <w:tcW w:w="4513" w:type="dxa"/>
            <w:tcBorders>
              <w:top w:val="single" w:sz="1" w:space="0" w:color="CCCCCC"/>
              <w:left w:val="single" w:sz="1" w:space="0" w:color="CCCCCC"/>
              <w:bottom w:val="single" w:sz="1" w:space="0" w:color="CCCCCC"/>
              <w:right w:val="single" w:sz="1" w:space="0" w:color="CCCCCC"/>
            </w:tcBorders>
            <w:shd w:val="clear" w:color="auto" w:fill="D5E8F0"/>
            <w:tcMar>
              <w:top w:w="60" w:type="dxa"/>
              <w:left w:w="110" w:type="dxa"/>
              <w:bottom w:w="60" w:type="dxa"/>
              <w:right w:w="110" w:type="dxa"/>
            </w:tcMar>
          </w:tcPr>
          <w:p w14:paraId="17BC58DA"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b/>
                <w:bCs/>
                <w:sz w:val="24"/>
                <w:szCs w:val="24"/>
              </w:rPr>
              <w:t>Nivel asignado al eje</w:t>
            </w:r>
          </w:p>
        </w:tc>
      </w:tr>
      <w:tr w:rsidR="00973582" w:rsidRPr="00F330B8" w14:paraId="3025FE6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104920D2"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0</w:t>
            </w:r>
          </w:p>
        </w:tc>
        <w:tc>
          <w:tcPr>
            <w:tcW w:w="4513"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607CD5E1"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I</w:t>
            </w:r>
          </w:p>
        </w:tc>
      </w:tr>
      <w:tr w:rsidR="00973582" w:rsidRPr="00F330B8" w14:paraId="5584188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3C9E1501"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lastRenderedPageBreak/>
              <w:t>1 o 2</w:t>
            </w:r>
          </w:p>
        </w:tc>
        <w:tc>
          <w:tcPr>
            <w:tcW w:w="4513"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1798A1CE"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III (el Nivel II se salta deliberadamente)</w:t>
            </w:r>
          </w:p>
        </w:tc>
      </w:tr>
      <w:tr w:rsidR="00973582" w:rsidRPr="00F330B8" w14:paraId="2252911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47ADD1D4"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3 o más</w:t>
            </w:r>
          </w:p>
        </w:tc>
        <w:tc>
          <w:tcPr>
            <w:tcW w:w="4513"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7257833C"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IV</w:t>
            </w:r>
          </w:p>
        </w:tc>
      </w:tr>
    </w:tbl>
    <w:p w14:paraId="54957979" w14:textId="77777777" w:rsidR="00555D69" w:rsidRDefault="00555D69" w:rsidP="00F330B8">
      <w:pPr>
        <w:pStyle w:val="Heading2"/>
        <w:spacing w:before="120" w:after="60" w:line="360" w:lineRule="auto"/>
        <w:contextualSpacing/>
        <w:jc w:val="both"/>
        <w:rPr>
          <w:rFonts w:ascii="Times New Roman" w:hAnsi="Times New Roman" w:cs="Times New Roman"/>
          <w:sz w:val="24"/>
          <w:szCs w:val="24"/>
        </w:rPr>
      </w:pPr>
    </w:p>
    <w:p w14:paraId="0561E76F" w14:textId="77777777" w:rsidR="00973582" w:rsidRPr="00F330B8" w:rsidRDefault="00000000" w:rsidP="00555D69">
      <w:pPr>
        <w:pStyle w:val="Heading2"/>
        <w:spacing w:before="120" w:after="60" w:line="360" w:lineRule="auto"/>
        <w:contextualSpacing/>
        <w:jc w:val="center"/>
        <w:rPr>
          <w:rFonts w:ascii="Times New Roman" w:hAnsi="Times New Roman" w:cs="Times New Roman"/>
          <w:sz w:val="24"/>
          <w:szCs w:val="24"/>
        </w:rPr>
      </w:pPr>
      <w:r>
        <w:rPr>
          <w:rFonts w:ascii="Times New Roman" w:hAnsi="Times New Roman" w:cs="Times New Roman"/>
          <w:sz w:val="24"/>
          <w:szCs w:val="24"/>
        </w:rPr>
        <w:t>Tabla 3 Regla estándar de los demás ejes (1, 2, 3, 4, 5)</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73582" w:rsidRPr="00F330B8" w14:paraId="6117263D" w14:textId="77777777">
        <w:trPr>
          <w:tblHeader/>
        </w:trPr>
        <w:tc>
          <w:tcPr>
            <w:tcW w:w="4513" w:type="dxa"/>
            <w:tcBorders>
              <w:top w:val="single" w:sz="1" w:space="0" w:color="CCCCCC"/>
              <w:left w:val="single" w:sz="1" w:space="0" w:color="CCCCCC"/>
              <w:bottom w:val="single" w:sz="1" w:space="0" w:color="CCCCCC"/>
              <w:right w:val="single" w:sz="1" w:space="0" w:color="CCCCCC"/>
            </w:tcBorders>
            <w:shd w:val="clear" w:color="auto" w:fill="D5E8F0"/>
            <w:tcMar>
              <w:top w:w="60" w:type="dxa"/>
              <w:left w:w="110" w:type="dxa"/>
              <w:bottom w:w="60" w:type="dxa"/>
              <w:right w:w="110" w:type="dxa"/>
            </w:tcMar>
          </w:tcPr>
          <w:p w14:paraId="17F843F3"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b/>
                <w:bCs/>
                <w:sz w:val="24"/>
                <w:szCs w:val="24"/>
              </w:rPr>
              <w:t>Cantidad de respuestas de riesgo</w:t>
            </w:r>
          </w:p>
        </w:tc>
        <w:tc>
          <w:tcPr>
            <w:tcW w:w="4513" w:type="dxa"/>
            <w:tcBorders>
              <w:top w:val="single" w:sz="1" w:space="0" w:color="CCCCCC"/>
              <w:left w:val="single" w:sz="1" w:space="0" w:color="CCCCCC"/>
              <w:bottom w:val="single" w:sz="1" w:space="0" w:color="CCCCCC"/>
              <w:right w:val="single" w:sz="1" w:space="0" w:color="CCCCCC"/>
            </w:tcBorders>
            <w:shd w:val="clear" w:color="auto" w:fill="D5E8F0"/>
            <w:tcMar>
              <w:top w:w="60" w:type="dxa"/>
              <w:left w:w="110" w:type="dxa"/>
              <w:bottom w:w="60" w:type="dxa"/>
              <w:right w:w="110" w:type="dxa"/>
            </w:tcMar>
          </w:tcPr>
          <w:p w14:paraId="2A5384B7"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b/>
                <w:bCs/>
                <w:sz w:val="24"/>
                <w:szCs w:val="24"/>
              </w:rPr>
              <w:t>Nivel asignado al eje</w:t>
            </w:r>
          </w:p>
        </w:tc>
      </w:tr>
      <w:tr w:rsidR="00973582" w:rsidRPr="00F330B8" w14:paraId="56E378D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5022D01F"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0</w:t>
            </w:r>
          </w:p>
        </w:tc>
        <w:tc>
          <w:tcPr>
            <w:tcW w:w="4513"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6297068F"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I</w:t>
            </w:r>
          </w:p>
        </w:tc>
      </w:tr>
      <w:tr w:rsidR="00973582" w:rsidRPr="00F330B8" w14:paraId="515B30D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6FA072C0"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1 o 2</w:t>
            </w:r>
          </w:p>
        </w:tc>
        <w:tc>
          <w:tcPr>
            <w:tcW w:w="4513"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795F1FFD"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II</w:t>
            </w:r>
          </w:p>
        </w:tc>
      </w:tr>
      <w:tr w:rsidR="00973582" w:rsidRPr="00F330B8" w14:paraId="4648D93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326E3CD1"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3 o 4</w:t>
            </w:r>
          </w:p>
        </w:tc>
        <w:tc>
          <w:tcPr>
            <w:tcW w:w="4513"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4A1FF00C"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III</w:t>
            </w:r>
          </w:p>
        </w:tc>
      </w:tr>
      <w:tr w:rsidR="00973582" w:rsidRPr="00F330B8" w14:paraId="10E6CAC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73C12F06"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5 o más</w:t>
            </w:r>
          </w:p>
        </w:tc>
        <w:tc>
          <w:tcPr>
            <w:tcW w:w="4513"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5535ED8B"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IV</w:t>
            </w:r>
          </w:p>
        </w:tc>
      </w:tr>
    </w:tbl>
    <w:p w14:paraId="00FE39F8" w14:textId="77777777" w:rsidR="00555D69" w:rsidRDefault="00555D69" w:rsidP="00555D69">
      <w:pPr>
        <w:spacing w:after="120"/>
        <w:contextualSpacing/>
        <w:jc w:val="both"/>
        <w:rPr>
          <w:rFonts w:ascii="Times New Roman" w:hAnsi="Times New Roman" w:cs="Times New Roman"/>
          <w:sz w:val="24"/>
          <w:szCs w:val="24"/>
        </w:rPr>
      </w:pPr>
    </w:p>
    <w:p w14:paraId="3402945E" w14:textId="77777777" w:rsidR="00973582" w:rsidRPr="00F330B8" w:rsidRDefault="00000000" w:rsidP="00555D69">
      <w:pPr>
        <w:spacing w:after="120" w:line="360" w:lineRule="auto"/>
        <w:ind w:firstLine="720"/>
        <w:contextualSpacing/>
        <w:jc w:val="both"/>
        <w:rPr>
          <w:rFonts w:ascii="Times New Roman" w:hAnsi="Times New Roman" w:cs="Times New Roman"/>
          <w:sz w:val="24"/>
          <w:szCs w:val="24"/>
        </w:rPr>
      </w:pPr>
      <w:r>
        <w:rPr>
          <w:rFonts w:ascii="Times New Roman" w:hAnsi="Times New Roman" w:cs="Times New Roman"/>
          <w:sz w:val="24"/>
          <w:szCs w:val="24"/>
        </w:rPr>
        <w:t>La diferencia visible: en el Eje 3.b el Nivel II se salta deliberadamente. Una única respuesta de riesgo ya lleva el eje directamente al Nivel III.</w:t>
      </w:r>
    </w:p>
    <w:p w14:paraId="6202B99B" w14:textId="77777777" w:rsidR="00555D69" w:rsidRDefault="00555D69" w:rsidP="00F330B8">
      <w:pPr>
        <w:pStyle w:val="Heading2"/>
        <w:spacing w:line="360" w:lineRule="auto"/>
        <w:contextualSpacing/>
        <w:jc w:val="both"/>
        <w:rPr>
          <w:rFonts w:ascii="Times New Roman" w:hAnsi="Times New Roman" w:cs="Times New Roman"/>
          <w:sz w:val="24"/>
          <w:szCs w:val="24"/>
        </w:rPr>
      </w:pPr>
    </w:p>
    <w:p w14:paraId="1D976463" w14:textId="77777777" w:rsidR="00973582" w:rsidRPr="00F330B8" w:rsidRDefault="00000000" w:rsidP="00F330B8">
      <w:pPr>
        <w:pStyle w:val="Heading2"/>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 xml:space="preserve">2.2 Por qué esta diferencia: el argumento sustantivo</w:t>
      </w:r>
    </w:p>
    <w:p w14:paraId="53F2E981" w14:textId="77777777" w:rsidR="00973582" w:rsidRPr="00F330B8" w:rsidRDefault="00000000" w:rsidP="00555D69">
      <w:pPr>
        <w:spacing w:after="120" w:line="360" w:lineRule="auto"/>
        <w:ind w:firstLine="540"/>
        <w:contextualSpacing/>
        <w:jc w:val="both"/>
        <w:rPr>
          <w:rFonts w:ascii="Times New Roman" w:hAnsi="Times New Roman" w:cs="Times New Roman"/>
          <w:sz w:val="24"/>
          <w:szCs w:val="24"/>
        </w:rPr>
      </w:pPr>
      <w:r>
        <w:rPr>
          <w:rFonts w:ascii="Times New Roman" w:hAnsi="Times New Roman" w:cs="Times New Roman"/>
          <w:sz w:val="24"/>
          <w:szCs w:val="24"/>
        </w:rPr>
        <w:t>La Resolución CNS n.º 738/2024 regula la investigación que utiliza bancos de datos de investigación: reutilización de datos clínicos, historias clínicas, registros, cohortes y biobancos. Es una capa normativa más prescriptiva que las resoluciones generales (466/2012, 510/2016) porque los riesgos tienen una naturaleza cualitativamente distinta:</w:t>
      </w:r>
    </w:p>
    <w:p w14:paraId="28F4D4E7" w14:textId="77777777" w:rsidR="00973582" w:rsidRPr="00F330B8" w:rsidRDefault="00000000" w:rsidP="00F330B8">
      <w:pPr>
        <w:pStyle w:val="ListParagraph"/>
        <w:numPr>
          <w:ilvl w:val="0"/>
          <w:numId w:val="2"/>
        </w:numPr>
        <w:spacing w:after="80" w:line="360" w:lineRule="auto"/>
        <w:contextualSpacing/>
        <w:jc w:val="both"/>
        <w:rPr>
          <w:rFonts w:ascii="Times New Roman" w:hAnsi="Times New Roman" w:cs="Times New Roman"/>
          <w:sz w:val="24"/>
          <w:szCs w:val="24"/>
        </w:rPr>
      </w:pPr>
      <w:r>
        <w:rPr>
          <w:rFonts w:ascii="Times New Roman" w:hAnsi="Times New Roman" w:cs="Times New Roman"/>
          <w:sz w:val="24"/>
          <w:szCs w:val="24"/>
        </w:rPr>
        <w:t>Privacidad y confidencialidad de datos identificables o potencialmente reidentificables.</w:t>
      </w:r>
    </w:p>
    <w:p w14:paraId="53986FFE" w14:textId="77777777" w:rsidR="00973582" w:rsidRPr="00F330B8" w:rsidRDefault="00000000" w:rsidP="00F330B8">
      <w:pPr>
        <w:pStyle w:val="ListParagraph"/>
        <w:numPr>
          <w:ilvl w:val="0"/>
          <w:numId w:val="2"/>
        </w:numPr>
        <w:spacing w:after="80" w:line="360" w:lineRule="auto"/>
        <w:contextualSpacing/>
        <w:jc w:val="both"/>
        <w:rPr>
          <w:rFonts w:ascii="Times New Roman" w:hAnsi="Times New Roman" w:cs="Times New Roman"/>
          <w:sz w:val="24"/>
          <w:szCs w:val="24"/>
        </w:rPr>
      </w:pPr>
      <w:r>
        <w:rPr>
          <w:rFonts w:ascii="Times New Roman" w:hAnsi="Times New Roman" w:cs="Times New Roman"/>
          <w:sz w:val="24"/>
          <w:szCs w:val="24"/>
        </w:rPr>
        <w:t>Reutilización secundaria sin consentimiento específico (o con una dispensa que debe estar bien justificada).</w:t>
      </w:r>
    </w:p>
    <w:p w14:paraId="1A0D4775" w14:textId="77777777" w:rsidR="00973582" w:rsidRPr="00F330B8" w:rsidRDefault="00000000" w:rsidP="00F330B8">
      <w:pPr>
        <w:pStyle w:val="ListParagraph"/>
        <w:numPr>
          <w:ilvl w:val="0"/>
          <w:numId w:val="2"/>
        </w:numPr>
        <w:spacing w:after="80" w:line="360" w:lineRule="auto"/>
        <w:contextualSpacing/>
        <w:jc w:val="both"/>
        <w:rPr>
          <w:rFonts w:ascii="Times New Roman" w:hAnsi="Times New Roman" w:cs="Times New Roman"/>
          <w:sz w:val="24"/>
          <w:szCs w:val="24"/>
        </w:rPr>
      </w:pPr>
      <w:r>
        <w:rPr>
          <w:rFonts w:ascii="Times New Roman" w:hAnsi="Times New Roman" w:cs="Times New Roman"/>
          <w:sz w:val="24"/>
          <w:szCs w:val="24"/>
        </w:rPr>
        <w:t>Discriminación algorítmica futura a partir de datos clínicos sensibles.</w:t>
      </w:r>
    </w:p>
    <w:p w14:paraId="0A7B015D" w14:textId="77777777" w:rsidR="00973582" w:rsidRPr="00F330B8" w:rsidRDefault="00000000" w:rsidP="00F330B8">
      <w:pPr>
        <w:pStyle w:val="ListParagraph"/>
        <w:numPr>
          <w:ilvl w:val="0"/>
          <w:numId w:val="2"/>
        </w:numPr>
        <w:spacing w:after="80" w:line="360" w:lineRule="auto"/>
        <w:contextualSpacing/>
        <w:jc w:val="both"/>
        <w:rPr>
          <w:rFonts w:ascii="Times New Roman" w:hAnsi="Times New Roman" w:cs="Times New Roman"/>
          <w:sz w:val="24"/>
          <w:szCs w:val="24"/>
        </w:rPr>
      </w:pPr>
      <w:r>
        <w:rPr>
          <w:rFonts w:ascii="Times New Roman" w:hAnsi="Times New Roman" w:cs="Times New Roman"/>
          <w:sz w:val="24"/>
          <w:szCs w:val="24"/>
        </w:rPr>
        <w:t>Intercambio internacional y pérdida de gobernanza nacional sobre los datos.</w:t>
      </w:r>
    </w:p>
    <w:p w14:paraId="2BF0068E" w14:textId="77777777" w:rsidR="00973582" w:rsidRPr="00F330B8" w:rsidRDefault="00000000" w:rsidP="00F330B8">
      <w:pPr>
        <w:pStyle w:val="ListParagraph"/>
        <w:numPr>
          <w:ilvl w:val="0"/>
          <w:numId w:val="2"/>
        </w:numPr>
        <w:spacing w:after="80" w:line="360" w:lineRule="auto"/>
        <w:contextualSpacing/>
        <w:jc w:val="both"/>
        <w:rPr>
          <w:rFonts w:ascii="Times New Roman" w:hAnsi="Times New Roman" w:cs="Times New Roman"/>
          <w:sz w:val="24"/>
          <w:szCs w:val="24"/>
        </w:rPr>
      </w:pPr>
      <w:r>
        <w:rPr>
          <w:rFonts w:ascii="Times New Roman" w:hAnsi="Times New Roman" w:cs="Times New Roman"/>
          <w:sz w:val="24"/>
          <w:szCs w:val="24"/>
        </w:rPr>
        <w:t>Persistencia temporal: a diferencia de un experimento que termina, un banco permanece y genera riesgos acumulativos a lo largo del tiempo.</w:t>
      </w:r>
    </w:p>
    <w:p w14:paraId="32385126" w14:textId="77777777" w:rsidR="00973582" w:rsidRPr="00F330B8" w:rsidRDefault="00000000" w:rsidP="00555D69">
      <w:pPr>
        <w:spacing w:after="120" w:line="360" w:lineRule="auto"/>
        <w:ind w:firstLine="540"/>
        <w:contextualSpacing/>
        <w:jc w:val="both"/>
        <w:rPr>
          <w:rFonts w:ascii="Times New Roman" w:hAnsi="Times New Roman" w:cs="Times New Roman"/>
          <w:sz w:val="24"/>
          <w:szCs w:val="24"/>
        </w:rPr>
      </w:pPr>
      <w:r>
        <w:rPr>
          <w:rFonts w:ascii="Times New Roman" w:hAnsi="Times New Roman" w:cs="Times New Roman"/>
          <w:sz w:val="24"/>
          <w:szCs w:val="24"/>
        </w:rPr>
        <w:t xml:space="preserve">Estos riesgos tienen una característica que justifica la regla excepcional: no se manifiestan en gradiente. O el banco se está gestionando dentro de los requisitos de la Res. 738 (ningún problema, riesgo bajo), o hay un problema concreto; y cuando lo hay, el riesgo ya es elevado, </w:t>
        <w:lastRenderedPageBreak/>
        <w:t>porque los daños potenciales (filtración, reidentificación, uso secundario no consentido) no admiten una categoría moderada. No existe, en la práctica, una «violación moderada de la confidencialidad» ni un «consentimiento parcialmente válido». La categoría intermedia («moderado») no tiene sentido analítico para este dominio.</w:t>
      </w:r>
    </w:p>
    <w:p w14:paraId="358DF74C" w14:textId="77777777" w:rsidR="00FB7BFF" w:rsidRDefault="00FB7BFF" w:rsidP="00F330B8">
      <w:pPr>
        <w:pStyle w:val="Heading2"/>
        <w:spacing w:line="360" w:lineRule="auto"/>
        <w:contextualSpacing/>
        <w:jc w:val="both"/>
        <w:rPr>
          <w:rFonts w:ascii="Times New Roman" w:hAnsi="Times New Roman" w:cs="Times New Roman"/>
          <w:sz w:val="24"/>
          <w:szCs w:val="24"/>
        </w:rPr>
      </w:pPr>
    </w:p>
    <w:p w14:paraId="2254E5F1" w14:textId="77777777" w:rsidR="00973582" w:rsidRPr="00F330B8" w:rsidRDefault="00000000" w:rsidP="00F330B8">
      <w:pPr>
        <w:pStyle w:val="Heading2"/>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2.3 Cómo interactúa la regla con la consolidación por máximo</w:t>
      </w:r>
    </w:p>
    <w:p w14:paraId="2E062565" w14:textId="77777777" w:rsidR="00973582" w:rsidRPr="00F330B8" w:rsidRDefault="00000000" w:rsidP="00FB7BFF">
      <w:pPr>
        <w:spacing w:after="120" w:line="360" w:lineRule="auto"/>
        <w:ind w:firstLine="540"/>
        <w:contextualSpacing/>
        <w:jc w:val="both"/>
        <w:rPr>
          <w:rFonts w:ascii="Times New Roman" w:hAnsi="Times New Roman" w:cs="Times New Roman"/>
          <w:sz w:val="24"/>
          <w:szCs w:val="24"/>
        </w:rPr>
      </w:pPr>
      <w:r>
        <w:rPr>
          <w:rFonts w:ascii="Times New Roman" w:hAnsi="Times New Roman" w:cs="Times New Roman"/>
          <w:sz w:val="24"/>
          <w:szCs w:val="24"/>
        </w:rPr>
        <w:t>La Versión A consolida el nivel final del protocolo por la regla del máximo: el nivel final es el más alto observado entre todos los ejes aplicables. En razón de esa interacción, la regla especial del Eje 3.b funciona, en la práctica, como un disparador de elevación:</w:t>
      </w:r>
    </w:p>
    <w:p w14:paraId="3CD55B2C" w14:textId="77777777" w:rsidR="00973582" w:rsidRPr="00F330B8" w:rsidRDefault="00000000" w:rsidP="00F330B8">
      <w:pPr>
        <w:pStyle w:val="ListParagraph"/>
        <w:numPr>
          <w:ilvl w:val="0"/>
          <w:numId w:val="2"/>
        </w:numPr>
        <w:spacing w:after="80" w:line="360" w:lineRule="auto"/>
        <w:contextualSpacing/>
        <w:jc w:val="both"/>
        <w:rPr>
          <w:rFonts w:ascii="Times New Roman" w:hAnsi="Times New Roman" w:cs="Times New Roman"/>
          <w:sz w:val="24"/>
          <w:szCs w:val="24"/>
        </w:rPr>
      </w:pPr>
      <w:r>
        <w:rPr>
          <w:rFonts w:ascii="Times New Roman" w:hAnsi="Times New Roman" w:cs="Times New Roman"/>
          <w:sz w:val="24"/>
          <w:szCs w:val="24"/>
        </w:rPr>
        <w:t xml:space="preserve">Si el Eje 3.b devuelve el Nivel I, no eleva nada. Los demás ejes definen el nivel final normalmente.</w:t>
      </w:r>
    </w:p>
    <w:p w14:paraId="60178BC3" w14:textId="77777777" w:rsidR="00973582" w:rsidRPr="00F330B8" w:rsidRDefault="00000000" w:rsidP="00F330B8">
      <w:pPr>
        <w:pStyle w:val="ListParagraph"/>
        <w:numPr>
          <w:ilvl w:val="0"/>
          <w:numId w:val="2"/>
        </w:numPr>
        <w:spacing w:after="80" w:line="360" w:lineRule="auto"/>
        <w:contextualSpacing/>
        <w:jc w:val="both"/>
        <w:rPr>
          <w:rFonts w:ascii="Times New Roman" w:hAnsi="Times New Roman" w:cs="Times New Roman"/>
          <w:sz w:val="24"/>
          <w:szCs w:val="24"/>
        </w:rPr>
      </w:pPr>
      <w:r>
        <w:rPr>
          <w:rFonts w:ascii="Times New Roman" w:hAnsi="Times New Roman" w:cs="Times New Roman"/>
          <w:sz w:val="24"/>
          <w:szCs w:val="24"/>
        </w:rPr>
        <w:t>Si el Eje 3.b devuelve el Nivel III por una única respuesta de riesgo, el protocolo entero se clasifica al menos en el Nivel III, aunque los otros cinco ejes estén en el Nivel I. Hay, en ese caso, un salto de dos niveles (I → III) activado por un único problema con el banco de datos.</w:t>
      </w:r>
    </w:p>
    <w:p w14:paraId="02599D72" w14:textId="77777777" w:rsidR="00973582" w:rsidRPr="00F330B8" w:rsidRDefault="00000000" w:rsidP="00F330B8">
      <w:pPr>
        <w:pStyle w:val="ListParagraph"/>
        <w:numPr>
          <w:ilvl w:val="0"/>
          <w:numId w:val="2"/>
        </w:numPr>
        <w:spacing w:after="80" w:line="360" w:lineRule="auto"/>
        <w:contextualSpacing/>
        <w:jc w:val="both"/>
        <w:rPr>
          <w:rFonts w:ascii="Times New Roman" w:hAnsi="Times New Roman" w:cs="Times New Roman"/>
          <w:sz w:val="24"/>
          <w:szCs w:val="24"/>
        </w:rPr>
      </w:pPr>
      <w:r>
        <w:rPr>
          <w:rFonts w:ascii="Times New Roman" w:hAnsi="Times New Roman" w:cs="Times New Roman"/>
          <w:sz w:val="24"/>
          <w:szCs w:val="24"/>
        </w:rPr>
        <w:t>Si el Eje 3.b devuelve el Nivel IV (3 o más respuestas de riesgo), el protocolo se clasifica automáticamente en el Nivel IV.</w:t>
      </w:r>
    </w:p>
    <w:p w14:paraId="42F9DD94" w14:textId="77777777" w:rsidR="00973582" w:rsidRPr="00F330B8" w:rsidRDefault="00000000" w:rsidP="00F330B8">
      <w:pPr>
        <w:spacing w:after="120" w:line="360" w:lineRule="auto"/>
        <w:contextualSpacing/>
        <w:jc w:val="both"/>
        <w:rPr>
          <w:rFonts w:ascii="Times New Roman" w:hAnsi="Times New Roman" w:cs="Times New Roman"/>
          <w:sz w:val="24"/>
          <w:szCs w:val="24"/>
        </w:rPr>
      </w:pPr>
      <w:r>
        <w:rPr>
          <w:rFonts w:ascii="Times New Roman" w:hAnsi="Times New Roman" w:cs="Times New Roman"/>
          <w:sz w:val="24"/>
          <w:szCs w:val="24"/>
        </w:rPr>
        <w:t>En otras palabras: cualquier problema concreto en el Eje 3.b lleva el protocolo a una revisión de alto riesgo, sin amortiguación. Es amplificación directa, no suavización gradual.</w:t>
      </w:r>
    </w:p>
    <w:p w14:paraId="06B65555" w14:textId="77777777" w:rsidR="00973582" w:rsidRPr="00F330B8" w:rsidRDefault="00000000" w:rsidP="00F330B8">
      <w:pPr>
        <w:pStyle w:val="Heading2"/>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2.4 Tres escenarios para concretar la regla</w:t>
      </w:r>
    </w:p>
    <w:p w14:paraId="1BF44AD7" w14:textId="77777777" w:rsidR="00973582" w:rsidRPr="00F330B8" w:rsidRDefault="00000000" w:rsidP="00F330B8">
      <w:pPr>
        <w:spacing w:after="120" w:line="360" w:lineRule="auto"/>
        <w:contextualSpacing/>
        <w:jc w:val="both"/>
        <w:rPr>
          <w:rFonts w:ascii="Times New Roman" w:hAnsi="Times New Roman" w:cs="Times New Roman"/>
          <w:sz w:val="24"/>
          <w:szCs w:val="24"/>
        </w:rPr>
      </w:pPr>
      <w:r>
        <w:rPr>
          <w:rFonts w:ascii="Times New Roman" w:hAnsi="Times New Roman" w:cs="Times New Roman"/>
          <w:b/>
          <w:bCs/>
          <w:sz w:val="24"/>
          <w:szCs w:val="24"/>
        </w:rPr>
        <w:t xml:space="preserve">Escenario A: el protocolo usa banco, en conformidad con la Res. 738.</w:t>
      </w:r>
    </w:p>
    <w:p w14:paraId="05E7CCFC" w14:textId="77777777" w:rsidR="00973582" w:rsidRPr="00F330B8" w:rsidRDefault="00000000" w:rsidP="00F330B8">
      <w:pPr>
        <w:spacing w:after="120" w:line="360" w:lineRule="auto"/>
        <w:contextualSpacing/>
        <w:jc w:val="both"/>
        <w:rPr>
          <w:rFonts w:ascii="Times New Roman" w:hAnsi="Times New Roman" w:cs="Times New Roman"/>
          <w:sz w:val="24"/>
          <w:szCs w:val="24"/>
        </w:rPr>
      </w:pPr>
      <w:r>
        <w:rPr>
          <w:rFonts w:ascii="Times New Roman" w:hAnsi="Times New Roman" w:cs="Times New Roman"/>
          <w:sz w:val="24"/>
          <w:szCs w:val="24"/>
        </w:rPr>
        <w:t>Eje 3.b: 0 respuestas de riesgo → Nivel I. El eje no eleva la clasificación. Los otros cinco ejes definen el nivel final según la regla estándar.</w:t>
      </w:r>
    </w:p>
    <w:p w14:paraId="28AF9FD6" w14:textId="77777777" w:rsidR="00973582" w:rsidRPr="00F330B8" w:rsidRDefault="00000000" w:rsidP="00F330B8">
      <w:pPr>
        <w:spacing w:after="120" w:line="360" w:lineRule="auto"/>
        <w:contextualSpacing/>
        <w:jc w:val="both"/>
        <w:rPr>
          <w:rFonts w:ascii="Times New Roman" w:hAnsi="Times New Roman" w:cs="Times New Roman"/>
          <w:sz w:val="24"/>
          <w:szCs w:val="24"/>
        </w:rPr>
      </w:pPr>
      <w:r>
        <w:rPr>
          <w:rFonts w:ascii="Times New Roman" w:hAnsi="Times New Roman" w:cs="Times New Roman"/>
          <w:b/>
          <w:bCs/>
          <w:sz w:val="24"/>
          <w:szCs w:val="24"/>
        </w:rPr>
        <w:t xml:space="preserve">Escenario B: el protocolo usa banco, con 1 problema concreto.</w:t>
      </w:r>
    </w:p>
    <w:p w14:paraId="7493A8BC" w14:textId="77777777" w:rsidR="00973582" w:rsidRPr="00F330B8" w:rsidRDefault="00000000" w:rsidP="00F330B8">
      <w:pPr>
        <w:spacing w:after="120" w:line="360" w:lineRule="auto"/>
        <w:contextualSpacing/>
        <w:jc w:val="both"/>
        <w:rPr>
          <w:rFonts w:ascii="Times New Roman" w:hAnsi="Times New Roman" w:cs="Times New Roman"/>
          <w:sz w:val="24"/>
          <w:szCs w:val="24"/>
        </w:rPr>
      </w:pPr>
      <w:r>
        <w:rPr>
          <w:rFonts w:ascii="Times New Roman" w:hAnsi="Times New Roman" w:cs="Times New Roman"/>
          <w:sz w:val="24"/>
          <w:szCs w:val="24"/>
        </w:rPr>
        <w:t>Ejemplo: dispensa de consentimiento adoptada sin justificación adecuada desde la perspectiva de la Res. 738. Eje 3.b: 1 respuesta de riesgo → Nivel III. Por la regla del máximo, el protocolo se clasifica al menos en el Nivel III, aunque los otros cinco ejes estén todos en el Nivel I. Un único problema en el Eje 3.b eleva el protocolo dos niveles (del I directamente al III).</w:t>
      </w:r>
    </w:p>
    <w:p w14:paraId="5FBD25E3" w14:textId="77777777" w:rsidR="00973582" w:rsidRPr="00F330B8" w:rsidRDefault="00000000" w:rsidP="00F330B8">
      <w:pPr>
        <w:spacing w:after="120" w:line="360" w:lineRule="auto"/>
        <w:contextualSpacing/>
        <w:jc w:val="both"/>
        <w:rPr>
          <w:rFonts w:ascii="Times New Roman" w:hAnsi="Times New Roman" w:cs="Times New Roman"/>
          <w:sz w:val="24"/>
          <w:szCs w:val="24"/>
        </w:rPr>
      </w:pPr>
      <w:r>
        <w:rPr>
          <w:rFonts w:ascii="Times New Roman" w:hAnsi="Times New Roman" w:cs="Times New Roman"/>
          <w:b/>
          <w:bCs/>
          <w:sz w:val="24"/>
          <w:szCs w:val="24"/>
        </w:rPr>
        <w:t xml:space="preserve">Escenario C: el protocolo usa banco, con 3 o más problemas.</w:t>
      </w:r>
    </w:p>
    <w:p w14:paraId="76635D63" w14:textId="77777777" w:rsidR="00973582" w:rsidRPr="00F330B8" w:rsidRDefault="00000000" w:rsidP="00F330B8">
      <w:pPr>
        <w:spacing w:after="120" w:line="360" w:lineRule="auto"/>
        <w:contextualSpacing/>
        <w:jc w:val="both"/>
        <w:rPr>
          <w:rFonts w:ascii="Times New Roman" w:hAnsi="Times New Roman" w:cs="Times New Roman"/>
          <w:sz w:val="24"/>
          <w:szCs w:val="24"/>
        </w:rPr>
      </w:pPr>
      <w:r>
        <w:rPr>
          <w:rFonts w:ascii="Times New Roman" w:hAnsi="Times New Roman" w:cs="Times New Roman"/>
          <w:sz w:val="24"/>
          <w:szCs w:val="24"/>
        </w:rPr>
        <w:t>Eje 3.b: 3+ respuestas de riesgo → Nivel IV. Protocolo automáticamente en el Nivel IV (crítico), independientemente de los demás ejes.</w:t>
      </w:r>
    </w:p>
    <w:p w14:paraId="5D029CB1" w14:textId="77777777" w:rsidR="00973582" w:rsidRPr="00F330B8" w:rsidRDefault="00000000" w:rsidP="00F330B8">
      <w:pPr>
        <w:pStyle w:val="Heading2"/>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 xml:space="preserve">2.5 Crítica: lo que un lector técnico puede plantear</w:t>
      </w:r>
    </w:p>
    <w:p w14:paraId="48422A8F" w14:textId="77777777" w:rsidR="00973582" w:rsidRPr="00F330B8" w:rsidRDefault="00000000" w:rsidP="00F330B8">
      <w:pPr>
        <w:pStyle w:val="ListParagraph"/>
        <w:numPr>
          <w:ilvl w:val="0"/>
          <w:numId w:val="2"/>
        </w:numPr>
        <w:spacing w:after="80" w:line="360" w:lineRule="auto"/>
        <w:contextualSpacing/>
        <w:jc w:val="both"/>
        <w:rPr>
          <w:rFonts w:ascii="Times New Roman" w:hAnsi="Times New Roman" w:cs="Times New Roman"/>
          <w:sz w:val="24"/>
          <w:szCs w:val="24"/>
        </w:rPr>
      </w:pPr>
      <w:r>
        <w:rPr>
          <w:rFonts w:ascii="Times New Roman" w:hAnsi="Times New Roman" w:cs="Times New Roman"/>
          <w:sz w:val="24"/>
          <w:szCs w:val="24"/>
        </w:rPr>
        <w:lastRenderedPageBreak/>
        <w:t>«¿Por qué 1 problema ya lleva al Nivel III? ¿No podría permanecer en el Nivel II o en el límite?» Podría, sí. La elección de saltar el Nivel II fue deontológica y conservadora, no estadística. Se prefiere clasificar de más antes que dejar pasar de menos.</w:t>
      </w:r>
    </w:p>
    <w:p w14:paraId="2D679E3F" w14:textId="77777777" w:rsidR="00973582" w:rsidRPr="00F330B8" w:rsidRDefault="00000000" w:rsidP="00F330B8">
      <w:pPr>
        <w:pStyle w:val="ListParagraph"/>
        <w:numPr>
          <w:ilvl w:val="0"/>
          <w:numId w:val="2"/>
        </w:numPr>
        <w:spacing w:after="80" w:line="360" w:lineRule="auto"/>
        <w:contextualSpacing/>
        <w:jc w:val="both"/>
        <w:rPr>
          <w:rFonts w:ascii="Times New Roman" w:hAnsi="Times New Roman" w:cs="Times New Roman"/>
          <w:sz w:val="24"/>
          <w:szCs w:val="24"/>
        </w:rPr>
      </w:pPr>
      <w:r>
        <w:rPr>
          <w:rFonts w:ascii="Times New Roman" w:hAnsi="Times New Roman" w:cs="Times New Roman"/>
          <w:sz w:val="24"/>
          <w:szCs w:val="24"/>
        </w:rPr>
        <w:t>«¿Esto generará sobreclasificación?» Probablemente sí, en algún porcentaje. El Frente 2 de la Validación Local (distribución empírica en los niveles) es justamente el instrumento diseñado para detectar si la elevación está resultando desproporcionada en la casuística real de los CEPs.</w:t>
      </w:r>
    </w:p>
    <w:p w14:paraId="7B2E98BF" w14:textId="77777777" w:rsidR="00973582" w:rsidRPr="00F330B8" w:rsidRDefault="00000000" w:rsidP="00F330B8">
      <w:pPr>
        <w:pStyle w:val="ListParagraph"/>
        <w:numPr>
          <w:ilvl w:val="0"/>
          <w:numId w:val="2"/>
        </w:numPr>
        <w:spacing w:after="80" w:line="360" w:lineRule="auto"/>
        <w:contextualSpacing/>
        <w:jc w:val="both"/>
        <w:rPr>
          <w:rFonts w:ascii="Times New Roman" w:hAnsi="Times New Roman" w:cs="Times New Roman"/>
          <w:sz w:val="24"/>
          <w:szCs w:val="24"/>
        </w:rPr>
      </w:pPr>
      <w:r>
        <w:rPr>
          <w:rFonts w:ascii="Times New Roman" w:hAnsi="Times New Roman" w:cs="Times New Roman"/>
          <w:sz w:val="24"/>
          <w:szCs w:val="24"/>
        </w:rPr>
        <w:t xml:space="preserve">«¿Por qué la elevación no es proporcional al riesgo material observado?» Porque la MARIAH, en esta etapa, no dispone de evidencia empírica que permita calibrar de forma proporcional. A falta de esa evidencia, se prefirió errar del lado de la mayor cautela, postura coherente con el resto de las decisiones metodológicas de la matriz.</w:t>
      </w:r>
    </w:p>
    <w:p w14:paraId="45A6CAA0" w14:textId="77777777" w:rsidR="00973582" w:rsidRPr="00F330B8" w:rsidRDefault="00000000" w:rsidP="00F330B8">
      <w:pPr>
        <w:pStyle w:val="Heading1"/>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3. Disparador 2 Cláusula de Primacía Ética, Versión B</w:t>
      </w:r>
    </w:p>
    <w:p w14:paraId="2AB843E7" w14:textId="77777777" w:rsidR="00973582" w:rsidRPr="00F330B8" w:rsidRDefault="00000000" w:rsidP="00C30793">
      <w:pPr>
        <w:spacing w:after="120" w:line="360" w:lineRule="auto"/>
        <w:ind w:firstLine="720"/>
        <w:contextualSpacing/>
        <w:jc w:val="both"/>
        <w:rPr>
          <w:rFonts w:ascii="Times New Roman" w:hAnsi="Times New Roman" w:cs="Times New Roman"/>
          <w:sz w:val="24"/>
          <w:szCs w:val="24"/>
        </w:rPr>
      </w:pPr>
      <w:r>
        <w:rPr>
          <w:rFonts w:ascii="Times New Roman" w:hAnsi="Times New Roman" w:cs="Times New Roman"/>
          <w:sz w:val="24"/>
          <w:szCs w:val="24"/>
        </w:rPr>
        <w:t>La Versión B es cuantitativa: la puntuación total del protocolo es la suma de las puntuaciones de siete bloques (modelo aditivo), y los puntos de corte definen el nivel final. La Cláusula de Primacía Ética es la excepción a esa aritmética.</w:t>
      </w:r>
    </w:p>
    <w:p w14:paraId="7A11BE58" w14:textId="77777777" w:rsidR="00973582" w:rsidRPr="00F330B8" w:rsidRDefault="00000000" w:rsidP="00F330B8">
      <w:pPr>
        <w:pStyle w:val="Heading2"/>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3.1 Qué establece la cláusula</w:t>
      </w:r>
    </w:p>
    <w:p w14:paraId="15C03679" w14:textId="77777777" w:rsidR="00973582" w:rsidRPr="00F330B8" w:rsidRDefault="00000000" w:rsidP="00C30793">
      <w:pPr>
        <w:spacing w:after="120" w:line="360" w:lineRule="auto"/>
        <w:ind w:firstLine="540"/>
        <w:contextualSpacing/>
        <w:jc w:val="both"/>
        <w:rPr>
          <w:rFonts w:ascii="Times New Roman" w:hAnsi="Times New Roman" w:cs="Times New Roman"/>
          <w:sz w:val="24"/>
          <w:szCs w:val="24"/>
        </w:rPr>
      </w:pPr>
      <w:r>
        <w:rPr>
          <w:rFonts w:ascii="Times New Roman" w:hAnsi="Times New Roman" w:cs="Times New Roman"/>
          <w:sz w:val="24"/>
          <w:szCs w:val="24"/>
        </w:rPr>
        <w:t xml:space="preserve">La cláusula opera sobre dos preguntas del Bloque 4 (Decisión), el bloque que evalúa el grado de autonomía decisoria del sistema y la consecuencia de un error, las preguntas más críticas de la matriz:</w:t>
      </w:r>
    </w:p>
    <w:p w14:paraId="09F68738" w14:textId="77777777" w:rsidR="00973582" w:rsidRPr="00F330B8" w:rsidRDefault="00000000" w:rsidP="00F330B8">
      <w:pPr>
        <w:pStyle w:val="ListParagraph"/>
        <w:numPr>
          <w:ilvl w:val="0"/>
          <w:numId w:val="2"/>
        </w:numPr>
        <w:spacing w:after="80" w:line="360" w:lineRule="auto"/>
        <w:contextualSpacing/>
        <w:jc w:val="both"/>
        <w:rPr>
          <w:rFonts w:ascii="Times New Roman" w:hAnsi="Times New Roman" w:cs="Times New Roman"/>
          <w:sz w:val="24"/>
          <w:szCs w:val="24"/>
        </w:rPr>
      </w:pPr>
      <w:r>
        <w:rPr>
          <w:rFonts w:ascii="Times New Roman" w:hAnsi="Times New Roman" w:cs="Times New Roman"/>
          <w:sz w:val="24"/>
          <w:szCs w:val="24"/>
        </w:rPr>
        <w:t>P4.1 — «¿El sistema es el único determinante de una decisión que afecta directamente a la persona participante — sin revisión humana obligatoria?» (respuesta de riesgo: Sí)</w:t>
      </w:r>
    </w:p>
    <w:p w14:paraId="51AE18DA" w14:textId="77777777" w:rsidR="00973582" w:rsidRPr="00F330B8" w:rsidRDefault="00000000" w:rsidP="00F330B8">
      <w:pPr>
        <w:pStyle w:val="ListParagraph"/>
        <w:numPr>
          <w:ilvl w:val="0"/>
          <w:numId w:val="2"/>
        </w:numPr>
        <w:spacing w:after="80" w:line="360" w:lineRule="auto"/>
        <w:contextualSpacing/>
        <w:jc w:val="both"/>
        <w:rPr>
          <w:rFonts w:ascii="Times New Roman" w:hAnsi="Times New Roman" w:cs="Times New Roman"/>
          <w:sz w:val="24"/>
          <w:szCs w:val="24"/>
        </w:rPr>
      </w:pPr>
      <w:r>
        <w:rPr>
          <w:rFonts w:ascii="Times New Roman" w:hAnsi="Times New Roman" w:cs="Times New Roman"/>
          <w:sz w:val="24"/>
          <w:szCs w:val="24"/>
        </w:rPr>
        <w:t>P4.2 — «En caso de error del sistema, ¿el daño a la persona participante sería irreversible o de difícil reparación?» (respuesta de riesgo: Sí)</w:t>
      </w:r>
    </w:p>
    <w:p w14:paraId="1EFC552A" w14:textId="77777777" w:rsidR="00C30793" w:rsidRDefault="00000000" w:rsidP="00A316F7">
      <w:pPr>
        <w:spacing w:after="120" w:line="360" w:lineRule="auto"/>
        <w:ind w:firstLine="540"/>
        <w:contextualSpacing/>
        <w:jc w:val="both"/>
        <w:rPr>
          <w:rFonts w:ascii="Times New Roman" w:hAnsi="Times New Roman" w:cs="Times New Roman"/>
          <w:sz w:val="24"/>
          <w:szCs w:val="24"/>
        </w:rPr>
      </w:pPr>
      <w:r>
        <w:rPr>
          <w:rFonts w:ascii="Times New Roman" w:hAnsi="Times New Roman" w:cs="Times New Roman"/>
          <w:sz w:val="24"/>
          <w:szCs w:val="24"/>
        </w:rPr>
        <w:t>Si P4.1 o P4.2 se marca como «Sí», se activa el principio de precaución y el protocolo se eleva al Nivel IV, independientemente de la puntuación total. La cláusula sobrescribe la suma: aunque los siete bloques sumados apuntaran al Nivel I o II, la respuesta afirmativa en una de esas preguntas lleva el protocolo al nivel crítico.</w:t>
      </w:r>
    </w:p>
    <w:p w14:paraId="515BEA4C" w14:textId="77777777" w:rsidR="00973582" w:rsidRPr="00F330B8" w:rsidRDefault="00000000" w:rsidP="00F330B8">
      <w:pPr>
        <w:pStyle w:val="Heading2"/>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3.2 Por qué existe la cláusula</w:t>
      </w:r>
    </w:p>
    <w:p w14:paraId="4E384EBC" w14:textId="77777777" w:rsidR="00973582" w:rsidRPr="00F330B8" w:rsidRDefault="00000000" w:rsidP="00C30793">
      <w:pPr>
        <w:spacing w:after="120" w:line="360" w:lineRule="auto"/>
        <w:ind w:firstLine="720"/>
        <w:contextualSpacing/>
        <w:jc w:val="both"/>
        <w:rPr>
          <w:rFonts w:ascii="Times New Roman" w:hAnsi="Times New Roman" w:cs="Times New Roman"/>
          <w:sz w:val="24"/>
          <w:szCs w:val="24"/>
        </w:rPr>
      </w:pPr>
      <w:r>
        <w:rPr>
          <w:rFonts w:ascii="Times New Roman" w:hAnsi="Times New Roman" w:cs="Times New Roman"/>
          <w:sz w:val="24"/>
          <w:szCs w:val="24"/>
        </w:rPr>
        <w:t xml:space="preserve">Las dos condiciones captadas por P4.1 y P4.2 (ausencia de revisión humana sobre una decisión que afecta directamente a la persona participante, y potencial de daño irreversible) son, en el entendimiento que orientó la elaboración de la matriz, éticamente innegociables. Son exactamente el tipo de condición que un modelo puramente aditivo trataría mal: un protocolo podría </w:t>
        <w:lastRenderedPageBreak/>
        <w:t>acumular una puntuación baja en los demás bloques y, aun así, contener un riesgo decisional grave que quedaría «diluido» en la puntuación total. La cláusula impide esa dilución, al hacer que la presencia de la condición sea decisiva por sí sola.</w:t>
      </w:r>
    </w:p>
    <w:p w14:paraId="61315611" w14:textId="77777777" w:rsidR="00973582" w:rsidRPr="00F330B8" w:rsidRDefault="00000000" w:rsidP="00C30793">
      <w:pPr>
        <w:spacing w:after="120" w:line="360" w:lineRule="auto"/>
        <w:ind w:firstLine="720"/>
        <w:contextualSpacing/>
        <w:jc w:val="both"/>
        <w:rPr>
          <w:rFonts w:ascii="Times New Roman" w:hAnsi="Times New Roman" w:cs="Times New Roman"/>
          <w:sz w:val="24"/>
          <w:szCs w:val="24"/>
        </w:rPr>
      </w:pPr>
      <w:r>
        <w:rPr>
          <w:rFonts w:ascii="Times New Roman" w:hAnsi="Times New Roman" w:cs="Times New Roman"/>
          <w:sz w:val="24"/>
          <w:szCs w:val="24"/>
        </w:rPr>
        <w:t>Se trata, por lo tanto, de una ruptura deliberada de la aditividad — una regla deontológica incorporada a la escala cuantitativa. Afirma que hay riesgos cuya gravedad no es compensable con buenas puntuaciones en otras dimensiones.</w:t>
      </w:r>
    </w:p>
    <w:p w14:paraId="3CBFA6DD" w14:textId="77777777" w:rsidR="00C30793" w:rsidRDefault="00C30793" w:rsidP="00F330B8">
      <w:pPr>
        <w:pStyle w:val="Heading2"/>
        <w:spacing w:line="360" w:lineRule="auto"/>
        <w:contextualSpacing/>
        <w:jc w:val="both"/>
        <w:rPr>
          <w:rFonts w:ascii="Times New Roman" w:hAnsi="Times New Roman" w:cs="Times New Roman"/>
          <w:sz w:val="24"/>
          <w:szCs w:val="24"/>
        </w:rPr>
      </w:pPr>
    </w:p>
    <w:p w14:paraId="1F713A37" w14:textId="77777777" w:rsidR="00973582" w:rsidRPr="00F330B8" w:rsidRDefault="00000000" w:rsidP="00F330B8">
      <w:pPr>
        <w:pStyle w:val="Heading2"/>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3.3 Cómo interactúa la cláusula con el resto de la Versión B</w:t>
      </w:r>
    </w:p>
    <w:p w14:paraId="55D2FFDC" w14:textId="77777777" w:rsidR="00973582" w:rsidRPr="00F330B8" w:rsidRDefault="00000000" w:rsidP="00C30793">
      <w:pPr>
        <w:spacing w:after="120" w:line="360" w:lineRule="auto"/>
        <w:ind w:firstLine="720"/>
        <w:contextualSpacing/>
        <w:jc w:val="both"/>
        <w:rPr>
          <w:rFonts w:ascii="Times New Roman" w:hAnsi="Times New Roman" w:cs="Times New Roman"/>
          <w:sz w:val="24"/>
          <w:szCs w:val="24"/>
        </w:rPr>
      </w:pPr>
      <w:r>
        <w:rPr>
          <w:rFonts w:ascii="Times New Roman" w:hAnsi="Times New Roman" w:cs="Times New Roman"/>
          <w:sz w:val="24"/>
          <w:szCs w:val="24"/>
        </w:rPr>
        <w:t xml:space="preserve">Conviene contrastarla con el Bloque 7 (Mitigación), el otro mecanismo que altera la puntuación. El Bloque 7 es bidireccional y opera dentro de la suma: resta puntos cuando hay mitigación y los preserva cuando no la hay, con piso de cero, es decir, mueve el protocolo a lo largo del gradiente, pero nunca lo saca de él. La Cláusula de Primacía Ética hace lo contrario: no participa de la suma, sino que la sobrescribe. En consecuencia, ninguna mitigación del Bloque 7 reduce un protocolo por debajo del Nivel IV una vez activada la cláusula; la salvaguarda ética prevalece sobre el crédito de mitigación.</w:t>
      </w:r>
    </w:p>
    <w:p w14:paraId="1AAE7763" w14:textId="77777777" w:rsidR="00973582" w:rsidRPr="00F330B8" w:rsidRDefault="00000000" w:rsidP="00F330B8">
      <w:pPr>
        <w:pStyle w:val="Heading2"/>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3.4 Tres escenarios para concretar la cláusula</w:t>
      </w:r>
    </w:p>
    <w:p w14:paraId="3226C9FD" w14:textId="77777777" w:rsidR="00C30793" w:rsidRDefault="00C30793" w:rsidP="00F330B8">
      <w:pPr>
        <w:pStyle w:val="Heading2"/>
        <w:spacing w:before="120" w:after="60" w:line="360" w:lineRule="auto"/>
        <w:contextualSpacing/>
        <w:jc w:val="both"/>
        <w:rPr>
          <w:rFonts w:ascii="Times New Roman" w:hAnsi="Times New Roman" w:cs="Times New Roman"/>
          <w:sz w:val="24"/>
          <w:szCs w:val="24"/>
        </w:rPr>
      </w:pPr>
    </w:p>
    <w:p w14:paraId="151FAB28" w14:textId="77777777" w:rsidR="00973582" w:rsidRPr="00F330B8" w:rsidRDefault="00000000" w:rsidP="00C30793">
      <w:pPr>
        <w:pStyle w:val="Heading2"/>
        <w:spacing w:before="120" w:after="60" w:line="360" w:lineRule="auto"/>
        <w:contextualSpacing/>
        <w:jc w:val="center"/>
        <w:rPr>
          <w:rFonts w:ascii="Times New Roman" w:hAnsi="Times New Roman" w:cs="Times New Roman"/>
          <w:sz w:val="24"/>
          <w:szCs w:val="24"/>
        </w:rPr>
      </w:pPr>
      <w:r>
        <w:rPr>
          <w:rFonts w:ascii="Times New Roman" w:hAnsi="Times New Roman" w:cs="Times New Roman"/>
          <w:sz w:val="24"/>
          <w:szCs w:val="24"/>
        </w:rPr>
        <w:t>Tabla 4 — Efecto de la Cláusula de Primacía Ética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500"/>
        <w:gridCol w:w="2826"/>
        <w:gridCol w:w="2400"/>
      </w:tblGrid>
      <w:tr w:rsidR="00973582" w:rsidRPr="00F330B8" w14:paraId="3FEC92B6" w14:textId="77777777">
        <w:trPr>
          <w:tblHeader/>
        </w:trPr>
        <w:tc>
          <w:tcPr>
            <w:tcW w:w="23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10" w:type="dxa"/>
              <w:bottom w:w="60" w:type="dxa"/>
              <w:right w:w="110" w:type="dxa"/>
            </w:tcMar>
          </w:tcPr>
          <w:p w14:paraId="7AF5D281"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b/>
                <w:bCs/>
                <w:sz w:val="24"/>
                <w:szCs w:val="24"/>
              </w:rPr>
              <w:t>Escenario</w:t>
            </w:r>
          </w:p>
        </w:tc>
        <w:tc>
          <w:tcPr>
            <w:tcW w:w="15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10" w:type="dxa"/>
              <w:bottom w:w="60" w:type="dxa"/>
              <w:right w:w="110" w:type="dxa"/>
            </w:tcMar>
          </w:tcPr>
          <w:p w14:paraId="439988D0"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b/>
                <w:bCs/>
                <w:sz w:val="24"/>
                <w:szCs w:val="24"/>
              </w:rPr>
              <w:t>P4.1 / P4.2</w:t>
            </w:r>
          </w:p>
        </w:tc>
        <w:tc>
          <w:tcPr>
            <w:tcW w:w="2826" w:type="dxa"/>
            <w:tcBorders>
              <w:top w:val="single" w:sz="1" w:space="0" w:color="CCCCCC"/>
              <w:left w:val="single" w:sz="1" w:space="0" w:color="CCCCCC"/>
              <w:bottom w:val="single" w:sz="1" w:space="0" w:color="CCCCCC"/>
              <w:right w:val="single" w:sz="1" w:space="0" w:color="CCCCCC"/>
            </w:tcBorders>
            <w:shd w:val="clear" w:color="auto" w:fill="D5E8F0"/>
            <w:tcMar>
              <w:top w:w="60" w:type="dxa"/>
              <w:left w:w="110" w:type="dxa"/>
              <w:bottom w:w="60" w:type="dxa"/>
              <w:right w:w="110" w:type="dxa"/>
            </w:tcMar>
          </w:tcPr>
          <w:p w14:paraId="74226741"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b/>
                <w:bCs/>
                <w:sz w:val="24"/>
                <w:szCs w:val="24"/>
              </w:rPr>
              <w:t>La suma de los bloques indicaría</w:t>
            </w:r>
          </w:p>
        </w:tc>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10" w:type="dxa"/>
              <w:bottom w:w="60" w:type="dxa"/>
              <w:right w:w="110" w:type="dxa"/>
            </w:tcMar>
          </w:tcPr>
          <w:p w14:paraId="66E024B1"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b/>
                <w:bCs/>
                <w:sz w:val="24"/>
                <w:szCs w:val="24"/>
              </w:rPr>
              <w:t>Clasificación final</w:t>
            </w:r>
          </w:p>
        </w:tc>
      </w:tr>
      <w:tr w:rsidR="00973582" w:rsidRPr="00F330B8" w14:paraId="1646F60E" w14:textId="77777777">
        <w:tc>
          <w:tcPr>
            <w:tcW w:w="2300"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71C525FB"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A — sin condición crítica</w:t>
            </w:r>
          </w:p>
        </w:tc>
        <w:tc>
          <w:tcPr>
            <w:tcW w:w="1500"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334F1488"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No / No</w:t>
            </w:r>
          </w:p>
        </w:tc>
        <w:tc>
          <w:tcPr>
            <w:tcW w:w="2826"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7BD3731B"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Según los puntos de corte (ej.: Nivel II)</w:t>
            </w:r>
          </w:p>
        </w:tc>
        <w:tc>
          <w:tcPr>
            <w:tcW w:w="2400"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79F3BA82"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Definida por la suma (Nivel II)</w:t>
            </w:r>
          </w:p>
        </w:tc>
      </w:tr>
      <w:tr w:rsidR="00973582" w:rsidRPr="00F330B8" w14:paraId="03C37867" w14:textId="77777777">
        <w:tc>
          <w:tcPr>
            <w:tcW w:w="2300"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3B5A2F0F"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B — puntuación baja, pero condición crítica presente</w:t>
            </w:r>
          </w:p>
        </w:tc>
        <w:tc>
          <w:tcPr>
            <w:tcW w:w="1500"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0DCC203A"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Sí (una de ellas)</w:t>
            </w:r>
          </w:p>
        </w:tc>
        <w:tc>
          <w:tcPr>
            <w:tcW w:w="2826"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6AFD1960"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Nivel I o II</w:t>
            </w:r>
          </w:p>
        </w:tc>
        <w:tc>
          <w:tcPr>
            <w:tcW w:w="2400"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0AC35C95"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Nivel IV (la cláusula sobrescribe la suma)</w:t>
            </w:r>
          </w:p>
        </w:tc>
      </w:tr>
      <w:tr w:rsidR="00973582" w:rsidRPr="00F330B8" w14:paraId="5867D359" w14:textId="77777777">
        <w:tc>
          <w:tcPr>
            <w:tcW w:w="2300"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7CEECAB3"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C — puntuación ya alta y condición presente</w:t>
            </w:r>
          </w:p>
        </w:tc>
        <w:tc>
          <w:tcPr>
            <w:tcW w:w="1500"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6FE33993"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Sí (una de ellas)</w:t>
            </w:r>
          </w:p>
        </w:tc>
        <w:tc>
          <w:tcPr>
            <w:tcW w:w="2826"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7B24A2AD"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Nivel III o IV</w:t>
            </w:r>
          </w:p>
        </w:tc>
        <w:tc>
          <w:tcPr>
            <w:tcW w:w="2400"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4781C4CD"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Nivel IV (sin doble efecto)</w:t>
            </w:r>
          </w:p>
        </w:tc>
      </w:tr>
    </w:tbl>
    <w:p w14:paraId="2223E63C" w14:textId="77777777" w:rsidR="00A316F7" w:rsidRDefault="00A316F7" w:rsidP="00F330B8">
      <w:pPr>
        <w:spacing w:after="120" w:line="360" w:lineRule="auto"/>
        <w:contextualSpacing/>
        <w:jc w:val="both"/>
        <w:rPr>
          <w:rFonts w:ascii="Times New Roman" w:hAnsi="Times New Roman" w:cs="Times New Roman"/>
          <w:sz w:val="24"/>
          <w:szCs w:val="24"/>
        </w:rPr>
      </w:pPr>
    </w:p>
    <w:p w14:paraId="56444AA9" w14:textId="77777777" w:rsidR="00973582" w:rsidRPr="00F330B8" w:rsidRDefault="00000000" w:rsidP="00A316F7">
      <w:pPr>
        <w:spacing w:after="120" w:line="360" w:lineRule="auto"/>
        <w:ind w:firstLine="720"/>
        <w:contextualSpacing/>
        <w:jc w:val="both"/>
        <w:rPr>
          <w:rFonts w:ascii="Times New Roman" w:hAnsi="Times New Roman" w:cs="Times New Roman"/>
          <w:sz w:val="24"/>
          <w:szCs w:val="24"/>
        </w:rPr>
      </w:pPr>
      <w:r>
        <w:rPr>
          <w:rFonts w:ascii="Times New Roman" w:hAnsi="Times New Roman" w:cs="Times New Roman"/>
          <w:sz w:val="24"/>
          <w:szCs w:val="24"/>
        </w:rPr>
        <w:t>El Escenario B es el que hace visible la cláusula: es en él donde la regla deontológica se separa de lo que indicaría la aritmética y eleva el protocolo del gradiente bajo directamente al nivel crítico.</w:t>
      </w:r>
    </w:p>
    <w:p w14:paraId="14F11E72" w14:textId="77777777" w:rsidR="00A316F7" w:rsidRDefault="00A316F7" w:rsidP="00F330B8">
      <w:pPr>
        <w:pStyle w:val="Heading2"/>
        <w:spacing w:line="360" w:lineRule="auto"/>
        <w:contextualSpacing/>
        <w:jc w:val="both"/>
        <w:rPr>
          <w:rFonts w:ascii="Times New Roman" w:hAnsi="Times New Roman" w:cs="Times New Roman"/>
          <w:sz w:val="24"/>
          <w:szCs w:val="24"/>
        </w:rPr>
      </w:pPr>
    </w:p>
    <w:p w14:paraId="0129C838" w14:textId="77777777" w:rsidR="00A316F7" w:rsidRDefault="00A316F7" w:rsidP="00F330B8">
      <w:pPr>
        <w:pStyle w:val="Heading2"/>
        <w:spacing w:line="360" w:lineRule="auto"/>
        <w:contextualSpacing/>
        <w:jc w:val="both"/>
        <w:rPr>
          <w:rFonts w:ascii="Times New Roman" w:hAnsi="Times New Roman" w:cs="Times New Roman"/>
          <w:sz w:val="24"/>
          <w:szCs w:val="24"/>
        </w:rPr>
      </w:pPr>
    </w:p>
    <w:p w14:paraId="3AF2C6CA" w14:textId="77777777" w:rsidR="00973582" w:rsidRPr="00F330B8" w:rsidRDefault="00000000" w:rsidP="00F330B8">
      <w:pPr>
        <w:pStyle w:val="Heading2"/>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 xml:space="preserve">3.5 Crítica: lo que un lector técnico puede plantear</w:t>
      </w:r>
    </w:p>
    <w:p w14:paraId="0EC100F0" w14:textId="77777777" w:rsidR="00973582" w:rsidRPr="00F330B8" w:rsidRDefault="00000000" w:rsidP="00F330B8">
      <w:pPr>
        <w:pStyle w:val="ListParagraph"/>
        <w:numPr>
          <w:ilvl w:val="0"/>
          <w:numId w:val="2"/>
        </w:numPr>
        <w:spacing w:after="80" w:line="360" w:lineRule="auto"/>
        <w:contextualSpacing/>
        <w:jc w:val="both"/>
        <w:rPr>
          <w:rFonts w:ascii="Times New Roman" w:hAnsi="Times New Roman" w:cs="Times New Roman"/>
          <w:sz w:val="24"/>
          <w:szCs w:val="24"/>
        </w:rPr>
      </w:pPr>
      <w:r>
        <w:rPr>
          <w:rFonts w:ascii="Times New Roman" w:hAnsi="Times New Roman" w:cs="Times New Roman"/>
          <w:sz w:val="24"/>
          <w:szCs w:val="24"/>
        </w:rPr>
        <w:t>«¿Por qué una salvaguarda en lugar de simplemente asignar un peso muy alto a P4.1 y P4.2?» Porque un peso alto, por grande que fuera, permanecería dentro de la suma y podría, en teoría, ser compensado o diluido por la combinación de los demás bloques. La salvaguarda garantiza que la condición prevalezca en cualquier configuración de puntuación.</w:t>
      </w:r>
    </w:p>
    <w:p w14:paraId="1D4DB60E" w14:textId="77777777" w:rsidR="00973582" w:rsidRPr="00F330B8" w:rsidRDefault="00000000" w:rsidP="00F330B8">
      <w:pPr>
        <w:pStyle w:val="ListParagraph"/>
        <w:numPr>
          <w:ilvl w:val="0"/>
          <w:numId w:val="2"/>
        </w:numPr>
        <w:spacing w:after="80" w:line="360" w:lineRule="auto"/>
        <w:contextualSpacing/>
        <w:jc w:val="both"/>
        <w:rPr>
          <w:rFonts w:ascii="Times New Roman" w:hAnsi="Times New Roman" w:cs="Times New Roman"/>
          <w:sz w:val="24"/>
          <w:szCs w:val="24"/>
        </w:rPr>
      </w:pPr>
      <w:r>
        <w:rPr>
          <w:rFonts w:ascii="Times New Roman" w:hAnsi="Times New Roman" w:cs="Times New Roman"/>
          <w:sz w:val="24"/>
          <w:szCs w:val="24"/>
        </w:rPr>
        <w:t xml:space="preserve">«¿Esto no genera sobreclasificación?» Puede generarla, en algún porcentaje; es el costo deliberado de la precaución. El Frente 2 de la Validación Local (distribución empírica en los niveles) es el instrumento para verificar con qué frecuencia se activa la cláusula y si la elevación resulta desproporcionada en la casuística real.</w:t>
      </w:r>
    </w:p>
    <w:p w14:paraId="494DF9C6" w14:textId="77777777" w:rsidR="00973582" w:rsidRPr="00F330B8" w:rsidRDefault="00000000" w:rsidP="00F330B8">
      <w:pPr>
        <w:pStyle w:val="ListParagraph"/>
        <w:numPr>
          <w:ilvl w:val="0"/>
          <w:numId w:val="2"/>
        </w:numPr>
        <w:spacing w:after="80" w:line="360" w:lineRule="auto"/>
        <w:contextualSpacing/>
        <w:jc w:val="both"/>
        <w:rPr>
          <w:rFonts w:ascii="Times New Roman" w:hAnsi="Times New Roman" w:cs="Times New Roman"/>
          <w:sz w:val="24"/>
          <w:szCs w:val="24"/>
        </w:rPr>
      </w:pPr>
      <w:r>
        <w:rPr>
          <w:rFonts w:ascii="Times New Roman" w:hAnsi="Times New Roman" w:cs="Times New Roman"/>
          <w:sz w:val="24"/>
          <w:szCs w:val="24"/>
        </w:rPr>
        <w:t>«¿La elevación es automática o facultad del colegiado?» La MARIAH aplica la elevación en la clasificación que calcula; la decisión final corresponde al CEP. Como en todo el instrumento, la matriz no aprueba ni reprueba protocolos y no sustituye la deliberación colegiada. La salvaguarda es una señal conservadora, no un veredicto.</w:t>
      </w:r>
    </w:p>
    <w:p w14:paraId="4F73EDBB" w14:textId="77777777" w:rsidR="00973582" w:rsidRPr="00F330B8" w:rsidRDefault="00000000" w:rsidP="00F330B8">
      <w:pPr>
        <w:pStyle w:val="Heading1"/>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4. Disparadores 3 y 4 Preguntas eliminatorias (cadena de custodia y nuevo consentimiento)</w:t>
      </w:r>
    </w:p>
    <w:p w14:paraId="2D73FFBE" w14:textId="77777777" w:rsidR="00973582" w:rsidRPr="00F330B8" w:rsidRDefault="00000000" w:rsidP="00A316F7">
      <w:pPr>
        <w:spacing w:after="120" w:line="360" w:lineRule="auto"/>
        <w:ind w:firstLine="720"/>
        <w:contextualSpacing/>
        <w:jc w:val="both"/>
        <w:rPr>
          <w:rFonts w:ascii="Times New Roman" w:hAnsi="Times New Roman" w:cs="Times New Roman"/>
          <w:sz w:val="24"/>
          <w:szCs w:val="24"/>
        </w:rPr>
      </w:pPr>
      <w:r>
        <w:rPr>
          <w:rFonts w:ascii="Times New Roman" w:hAnsi="Times New Roman" w:cs="Times New Roman"/>
          <w:sz w:val="24"/>
          <w:szCs w:val="24"/>
        </w:rPr>
        <w:t>Los dos últimos disparadores son de naturaleza distinta de los dos primeros y, por eso, se presentan en conjunto. Ambos son preguntas eliminatorias: cuando se activan, no elevan el protocolo a un nivel de riesgo más alto — lo retiran del flujo de clasificación y le asignan la salida categorial «no evaluable por la MARIAH». Esa salida no es un quinto nivel ni un agravamiento de la suma; es un rechazo de la clasificación, que señala que el protocolo exige un análisis individualizado del colegiado, fuera del alcance del instrumento. Los dos difieren en cuanto al fundamento. El Disparador 3 (cadena de custodia, Res. CNS n.º 738/2024) se activa cuando falta una cadena de custodia formalizada de los datos. El Disparador 4 (nuevo consentimiento, Ley n.º 14.874/2024 y LGPD) se activa en sistemas que cambian de comportamiento durante el estudio — en la Versión A cuando 1.2 = Sí; en la Versión B cuando P2.2 = Sí — y el protocolo no presenta un plan de nuevo consentimiento con umbral de cambio definido, procedimiento y responsable; por ser una exigencia legal, la ausencia de ese plan no es compensable con puntos. En la Versión A corresponde a la pregunta 2.10; en la Versión B, a la P2.8. Son, en ese sentido, las salvaguardas más radicales: mientras los Disparadores 1 y 2 obligan a elevar dentro de la escala, las preguntas eliminatorias sobrescriben el conteo o la suma reconociendo el límite de la propia matriz. La activación remite el caso a la deliberación del CEP, en coherencia con el aviso de la MARIAH, que no sustituye el juicio del colegiado. En línea con la Res. CNS n.º 738/2024, la versión actual añade además, en el Eje 3.b / Bloque 6.b, tres ítems de diligencia (P6.b.4.1, P6.b.6 y P6.b.7) que no puntúan y operan como un filtro acumulativo: cuando cualquier criterio aplicable no se cumple, el protocolo también se devuelve para diligencia, sin análisis de mérito.</w:t>
      </w:r>
    </w:p>
    <w:p w14:paraId="5626E993" w14:textId="77777777" w:rsidR="00973582" w:rsidRPr="00F330B8" w:rsidRDefault="00000000" w:rsidP="00F330B8">
      <w:pPr>
        <w:pStyle w:val="Heading1"/>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5. En síntesis</w:t>
      </w:r>
    </w:p>
    <w:p w14:paraId="2DDB862B" w14:textId="77777777" w:rsidR="00973582" w:rsidRPr="00F330B8" w:rsidRDefault="00000000" w:rsidP="00A316F7">
      <w:pPr>
        <w:spacing w:after="120" w:line="360" w:lineRule="auto"/>
        <w:ind w:firstLine="720"/>
        <w:contextualSpacing/>
        <w:jc w:val="both"/>
        <w:rPr>
          <w:rFonts w:ascii="Times New Roman" w:hAnsi="Times New Roman" w:cs="Times New Roman"/>
          <w:sz w:val="24"/>
          <w:szCs w:val="24"/>
        </w:rPr>
      </w:pPr>
      <w:r>
        <w:rPr>
          <w:rFonts w:ascii="Times New Roman" w:hAnsi="Times New Roman" w:cs="Times New Roman"/>
          <w:sz w:val="24"/>
          <w:szCs w:val="24"/>
        </w:rPr>
        <w:t xml:space="preserve">Los cuatro disparadores (la regla especial del Eje 3.b, la Cláusula de Primacía Ética, la eliminatoria de cadena de custodia y la diligencia impeditiva de nuevo consentimiento) materializan, en conjunto, la postura conservadora de la MARIAH. Son decisiones éticas incorporadas a la escala, no derivaciones estadísticas: cada una identifica una condición que no admite tratamiento gradual y hace que su presencia prevalezca sobre el conteo (Versión A) o la suma (Versión B). Son asimetrías deliberadas, asumidas como tales, </w:t>
        <w:lastRenderedPageBreak/>
        <w:t xml:space="preserve">que priorizan la precaución sobre la proporcionalidad fina, elección coherente con la ausencia, en esta etapa, de evidencia empírica que permitiera una calibración proporcional.</w:t>
      </w:r>
    </w:p>
    <w:p w14:paraId="59B6EA53" w14:textId="77777777" w:rsidR="00973582" w:rsidRDefault="00000000" w:rsidP="00A316F7">
      <w:pPr>
        <w:spacing w:after="120" w:line="360" w:lineRule="auto"/>
        <w:ind w:firstLine="720"/>
        <w:contextualSpacing/>
        <w:jc w:val="both"/>
        <w:rPr>
          <w:rFonts w:ascii="Times New Roman" w:hAnsi="Times New Roman" w:cs="Times New Roman"/>
          <w:sz w:val="24"/>
          <w:szCs w:val="24"/>
        </w:rPr>
      </w:pPr>
      <w:r>
        <w:rPr>
          <w:rFonts w:ascii="Times New Roman" w:hAnsi="Times New Roman" w:cs="Times New Roman"/>
          <w:sz w:val="24"/>
          <w:szCs w:val="24"/>
        </w:rPr>
        <w:t xml:space="preserve">El Frente 2 de la Validación Local (distribución empírica en los cuatro niveles, en la Versión B) es el instrumento prospectivo diseñado para verificar, en la casuística real de los CEPs, si estos disparadores están bien calibrados o si producen una sobreclasificación que justifique un ajuste. Las eventuales sugerencias del GT sobre estas reglas se consolidarán al cierre del período de lectura, antes del envío de la Guía a la Editora del Ministerio de Salud de Brasil (Editora MS). Las observaciones y críticas técnicas pueden enviarse, en cualquier momento, a la CGREP (</w:t>
      </w:r>
      <w:hyperlink r:id="rId7" w:history="1">
        <w:r>
          <w:rPr>
            <w:rStyle w:val="Hyperlink"/>
            <w:rFonts w:ascii="Times New Roman" w:hAnsi="Times New Roman" w:cs="Times New Roman"/>
            <w:sz w:val="24"/>
            <w:szCs w:val="24"/>
          </w:rPr>
          <w:t>cgrep@saude.gov.br</w:t>
        </w:r>
      </w:hyperlink>
      <w:r>
        <w:rPr>
          <w:rFonts w:ascii="Times New Roman" w:hAnsi="Times New Roman" w:cs="Times New Roman"/>
          <w:sz w:val="24"/>
          <w:szCs w:val="24"/>
        </w:rPr>
        <w:t>).</w:t>
      </w:r>
    </w:p>
    <w:p w14:paraId="59484FA9" w14:textId="77777777" w:rsidR="002A68F7" w:rsidRPr="00F330B8" w:rsidRDefault="002A68F7" w:rsidP="00A316F7">
      <w:pPr>
        <w:spacing w:after="120" w:line="360" w:lineRule="auto"/>
        <w:ind w:firstLine="720"/>
        <w:contextualSpacing/>
        <w:jc w:val="both"/>
        <w:rPr>
          <w:rFonts w:ascii="Times New Roman" w:hAnsi="Times New Roman" w:cs="Times New Roman"/>
          <w:sz w:val="24"/>
          <w:szCs w:val="24"/>
        </w:rPr>
      </w:pPr>
    </w:p>
    <w:sectPr w:rsidR="002A68F7" w:rsidRPr="00F330B8">
      <w:headerReference w:type="default" r:id="rId8"/>
      <w:footerReference w:type="defaul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8A581B" w14:textId="77777777" w:rsidR="008701C5" w:rsidRDefault="008701C5">
      <w:r>
        <w:separator/>
      </w:r>
    </w:p>
  </w:endnote>
  <w:endnote w:type="continuationSeparator" w:id="0">
    <w:p w14:paraId="24495B41" w14:textId="77777777" w:rsidR="008701C5" w:rsidRDefault="008701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62999" w14:textId="77777777" w:rsidR="00973582" w:rsidRDefault="00000000">
    <w:pPr>
      <w:jc w:val="center"/>
    </w:pPr>
    <w:r>
      <w:rPr>
        <w:color w:val="6B7280"/>
        <w:sz w:val="16"/>
        <w:szCs w:val="16"/>
      </w:rPr>
      <w:t xml:space="preserve">Página </w:t>
    </w:r>
    <w:r>
      <w:rPr>
        <w:color w:val="6B7280"/>
        <w:sz w:val="16"/>
        <w:szCs w:val="16"/>
      </w:rPr>
      <w:fldChar w:fldCharType="begin"/>
    </w:r>
    <w:r>
      <w:rPr>
        <w:color w:val="6B7280"/>
        <w:sz w:val="16"/>
        <w:szCs w:val="16"/>
      </w:rPr>
      <w:instrText>PAGE</w:instrText>
    </w:r>
    <w:r>
      <w:rPr>
        <w:color w:val="6B7280"/>
        <w:sz w:val="16"/>
        <w:szCs w:val="16"/>
      </w:rPr>
      <w:fldChar w:fldCharType="separate"/>
    </w:r>
    <w:r w:rsidR="00F330B8">
      <w:rPr>
        <w:noProof/>
        <w:color w:val="6B7280"/>
        <w:sz w:val="16"/>
        <w:szCs w:val="16"/>
      </w:rPr>
      <w:t>1</w:t>
    </w:r>
    <w:r>
      <w:rPr>
        <w:color w:val="6B7280"/>
        <w:sz w:val="16"/>
        <w:szCs w:val="16"/>
      </w:rPr>
      <w:fldChar w:fldCharType="end"/>
    </w:r>
    <w:r>
      <w:rPr>
        <w:color w:val="6B7280"/>
        <w:sz w:val="16"/>
        <w:szCs w:val="16"/>
      </w:rPr>
      <w:t xml:space="preserve"> · Organización del GT INAEP · Ministerio de Salud de Brasil ·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9FC0D8" w14:textId="77777777" w:rsidR="008701C5" w:rsidRDefault="008701C5">
      <w:r>
        <w:separator/>
      </w:r>
    </w:p>
  </w:footnote>
  <w:footnote w:type="continuationSeparator" w:id="0">
    <w:p w14:paraId="334676EE" w14:textId="77777777" w:rsidR="008701C5" w:rsidRDefault="008701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109964" w14:textId="77777777" w:rsidR="00973582" w:rsidRDefault="00000000">
    <w:pPr>
      <w:jc w:val="right"/>
    </w:pPr>
    <w:r>
      <w:rPr>
        <w:color w:val="6B7280"/>
        <w:sz w:val="16"/>
        <w:szCs w:val="16"/>
      </w:rPr>
      <w:t>MARIAH — Suplemento técnico · Mecanismos de salvaguarda automática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5954A7"/>
    <w:multiLevelType w:val="hybridMultilevel"/>
    <w:tmpl w:val="A7F0545E"/>
    <w:lvl w:ilvl="0" w:tplc="2966922A">
      <w:start w:val="1"/>
      <w:numFmt w:val="bullet"/>
      <w:lvlText w:val="•"/>
      <w:lvlJc w:val="left"/>
      <w:pPr>
        <w:ind w:left="540" w:hanging="280"/>
      </w:pPr>
    </w:lvl>
    <w:lvl w:ilvl="1" w:tplc="E14CB9EA">
      <w:numFmt w:val="decimal"/>
      <w:lvlText w:val=""/>
      <w:lvlJc w:val="left"/>
    </w:lvl>
    <w:lvl w:ilvl="2" w:tplc="CD408780">
      <w:numFmt w:val="decimal"/>
      <w:lvlText w:val=""/>
      <w:lvlJc w:val="left"/>
    </w:lvl>
    <w:lvl w:ilvl="3" w:tplc="CC6A9A40">
      <w:numFmt w:val="decimal"/>
      <w:lvlText w:val=""/>
      <w:lvlJc w:val="left"/>
    </w:lvl>
    <w:lvl w:ilvl="4" w:tplc="3294B022">
      <w:numFmt w:val="decimal"/>
      <w:lvlText w:val=""/>
      <w:lvlJc w:val="left"/>
    </w:lvl>
    <w:lvl w:ilvl="5" w:tplc="8280FDD8">
      <w:numFmt w:val="decimal"/>
      <w:lvlText w:val=""/>
      <w:lvlJc w:val="left"/>
    </w:lvl>
    <w:lvl w:ilvl="6" w:tplc="F48E9118">
      <w:numFmt w:val="decimal"/>
      <w:lvlText w:val=""/>
      <w:lvlJc w:val="left"/>
    </w:lvl>
    <w:lvl w:ilvl="7" w:tplc="EAECEFA2">
      <w:numFmt w:val="decimal"/>
      <w:lvlText w:val=""/>
      <w:lvlJc w:val="left"/>
    </w:lvl>
    <w:lvl w:ilvl="8" w:tplc="C03676FE">
      <w:numFmt w:val="decimal"/>
      <w:lvlText w:val=""/>
      <w:lvlJc w:val="left"/>
    </w:lvl>
  </w:abstractNum>
  <w:abstractNum w:abstractNumId="1" w15:restartNumberingAfterBreak="0">
    <w:nsid w:val="5D8E552B"/>
    <w:multiLevelType w:val="hybridMultilevel"/>
    <w:tmpl w:val="596E3692"/>
    <w:lvl w:ilvl="0" w:tplc="D818B40E">
      <w:start w:val="1"/>
      <w:numFmt w:val="bullet"/>
      <w:lvlText w:val="●"/>
      <w:lvlJc w:val="left"/>
      <w:pPr>
        <w:ind w:left="720" w:hanging="360"/>
      </w:pPr>
    </w:lvl>
    <w:lvl w:ilvl="1" w:tplc="2A4A9DB8">
      <w:start w:val="1"/>
      <w:numFmt w:val="bullet"/>
      <w:lvlText w:val="○"/>
      <w:lvlJc w:val="left"/>
      <w:pPr>
        <w:ind w:left="1440" w:hanging="360"/>
      </w:pPr>
    </w:lvl>
    <w:lvl w:ilvl="2" w:tplc="0A28230E">
      <w:start w:val="1"/>
      <w:numFmt w:val="bullet"/>
      <w:lvlText w:val="■"/>
      <w:lvlJc w:val="left"/>
      <w:pPr>
        <w:ind w:left="2160" w:hanging="360"/>
      </w:pPr>
    </w:lvl>
    <w:lvl w:ilvl="3" w:tplc="219A8EC4">
      <w:start w:val="1"/>
      <w:numFmt w:val="bullet"/>
      <w:lvlText w:val="●"/>
      <w:lvlJc w:val="left"/>
      <w:pPr>
        <w:ind w:left="2880" w:hanging="360"/>
      </w:pPr>
    </w:lvl>
    <w:lvl w:ilvl="4" w:tplc="89CE37EA">
      <w:start w:val="1"/>
      <w:numFmt w:val="bullet"/>
      <w:lvlText w:val="○"/>
      <w:lvlJc w:val="left"/>
      <w:pPr>
        <w:ind w:left="3600" w:hanging="360"/>
      </w:pPr>
    </w:lvl>
    <w:lvl w:ilvl="5" w:tplc="5DAE683A">
      <w:start w:val="1"/>
      <w:numFmt w:val="bullet"/>
      <w:lvlText w:val="■"/>
      <w:lvlJc w:val="left"/>
      <w:pPr>
        <w:ind w:left="4320" w:hanging="360"/>
      </w:pPr>
    </w:lvl>
    <w:lvl w:ilvl="6" w:tplc="F3A6B7B0">
      <w:start w:val="1"/>
      <w:numFmt w:val="bullet"/>
      <w:lvlText w:val="●"/>
      <w:lvlJc w:val="left"/>
      <w:pPr>
        <w:ind w:left="5040" w:hanging="360"/>
      </w:pPr>
    </w:lvl>
    <w:lvl w:ilvl="7" w:tplc="6FA0AA36">
      <w:start w:val="1"/>
      <w:numFmt w:val="bullet"/>
      <w:lvlText w:val="●"/>
      <w:lvlJc w:val="left"/>
      <w:pPr>
        <w:ind w:left="5760" w:hanging="360"/>
      </w:pPr>
    </w:lvl>
    <w:lvl w:ilvl="8" w:tplc="51BC0BB6">
      <w:start w:val="1"/>
      <w:numFmt w:val="bullet"/>
      <w:lvlText w:val="●"/>
      <w:lvlJc w:val="left"/>
      <w:pPr>
        <w:ind w:left="6480" w:hanging="360"/>
      </w:pPr>
    </w:lvl>
  </w:abstractNum>
  <w:num w:numId="1" w16cid:durableId="1761414528">
    <w:abstractNumId w:val="1"/>
    <w:lvlOverride w:ilvl="0">
      <w:startOverride w:val="1"/>
    </w:lvlOverride>
  </w:num>
  <w:num w:numId="2" w16cid:durableId="150289297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3582"/>
    <w:rsid w:val="00120BC4"/>
    <w:rsid w:val="001C0D30"/>
    <w:rsid w:val="00285364"/>
    <w:rsid w:val="002A68F7"/>
    <w:rsid w:val="003E0989"/>
    <w:rsid w:val="004956F1"/>
    <w:rsid w:val="00555D69"/>
    <w:rsid w:val="007F1C28"/>
    <w:rsid w:val="008701C5"/>
    <w:rsid w:val="00935DC8"/>
    <w:rsid w:val="00973582"/>
    <w:rsid w:val="009804FE"/>
    <w:rsid w:val="00A316F7"/>
    <w:rsid w:val="00B10850"/>
    <w:rsid w:val="00C30793"/>
    <w:rsid w:val="00D022B7"/>
    <w:rsid w:val="00D44E19"/>
    <w:rsid w:val="00F330B8"/>
    <w:rsid w:val="00FB7BFF"/>
  </w:rsids>
  <m:mathPr>
    <m:mathFont m:val="Cambria Math"/>
    <m:brkBin m:val="before"/>
    <m:brkBinSub m:val="--"/>
    <m:smallFrac m:val="0"/>
    <m:dispDef/>
    <m:lMargin m:val="0"/>
    <m:rMargin m:val="0"/>
    <m:defJc m:val="centerGroup"/>
    <m:wrapIndent m:val="1440"/>
    <m:intLim m:val="subSup"/>
    <m:naryLim m:val="undOvr"/>
  </m:mathPr>
  <w:themeFontLang w:val="en-BR"/>
  <w:clrSchemeMapping w:bg1="light1" w:t1="dark1" w:bg2="light2" w:t2="dark2" w:accent1="accent1" w:accent2="accent2" w:accent3="accent3" w:accent4="accent4" w:accent5="accent5" w:accent6="accent6" w:hyperlink="hyperlink" w:followedHyperlink="followedHyperlink"/>
  <w:decimalSymbol w:val=","/>
  <w:listSeparator w:val=","/>
  <w14:docId w14:val="6B50233D"/>
  <w15:docId w15:val="{25B0B807-18C3-4A49-AE0F-104B0720B2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B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0F766E"/>
      <w:sz w:val="26"/>
      <w:szCs w:val="26"/>
    </w:rPr>
  </w:style>
  <w:style w:type="paragraph" w:styleId="Heading2">
    <w:name w:val="heading 2"/>
    <w:uiPriority w:val="9"/>
    <w:unhideWhenUsed/>
    <w:qFormat/>
    <w:pPr>
      <w:spacing w:before="160" w:after="80"/>
      <w:outlineLvl w:val="1"/>
    </w:pPr>
    <w:rPr>
      <w:b/>
      <w:bCs/>
      <w:color w:val="1F2937"/>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2A68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cgrep@saude.gov.b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2291</Words>
  <Characters>11825</Characters>
  <Application>Microsoft Office Word</Application>
  <DocSecurity>0</DocSecurity>
  <Lines>275</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Fabiano Tonaco Borges</cp:lastModifiedBy>
  <cp:revision>2</cp:revision>
  <dcterms:created xsi:type="dcterms:W3CDTF">2026-06-14T20:24:00Z</dcterms:created>
  <dcterms:modified xsi:type="dcterms:W3CDTF">2026-06-14T20:24:00Z</dcterms:modified>
</cp:coreProperties>
</file>