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F5B63" w14:textId="77777777" w:rsidR="002214C8" w:rsidRPr="00903152" w:rsidRDefault="00000000" w:rsidP="00903152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i/>
          <w:iCs/>
          <w:color w:val="6B7280"/>
          <w:sz w:val="24"/>
          <w:szCs w:val="24"/>
        </w:rPr>
        <w:t>Nota técnica de transparência metodológica</w:t>
      </w:r>
    </w:p>
    <w:p w14:paraId="1771DB94" w14:textId="77777777" w:rsidR="002214C8" w:rsidRPr="00903152" w:rsidRDefault="00000000" w:rsidP="0090315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color w:val="0F766E"/>
          <w:sz w:val="24"/>
          <w:szCs w:val="24"/>
        </w:rPr>
        <w:t>Premissas da classificação de risco da MARIAH</w:t>
      </w:r>
    </w:p>
    <w:p w14:paraId="060184ED" w14:textId="167B9215" w:rsidR="002214C8" w:rsidRPr="00903152" w:rsidRDefault="00000000" w:rsidP="0090315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i/>
          <w:iCs/>
          <w:color w:val="6B7280"/>
          <w:sz w:val="24"/>
          <w:szCs w:val="24"/>
        </w:rPr>
        <w:t>MARIAH Matriz de Avaliação de Risco de Inteligência Artificial em Pesquisa com Seres Humanos · Versão preliminar · Junho de 2026</w:t>
      </w:r>
    </w:p>
    <w:p w14:paraId="03552881" w14:textId="0279E09D" w:rsidR="002214C8" w:rsidRPr="00903152" w:rsidRDefault="00000000" w:rsidP="00903152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Este documento explicita</w:t>
      </w:r>
      <w:r w:rsidR="00903152">
        <w:rPr>
          <w:rFonts w:ascii="Times New Roman" w:hAnsi="Times New Roman" w:cs="Times New Roman"/>
          <w:sz w:val="24"/>
          <w:szCs w:val="24"/>
        </w:rPr>
        <w:t xml:space="preserve"> </w:t>
      </w:r>
      <w:r w:rsidRPr="00903152">
        <w:rPr>
          <w:rFonts w:ascii="Times New Roman" w:hAnsi="Times New Roman" w:cs="Times New Roman"/>
          <w:sz w:val="24"/>
          <w:szCs w:val="24"/>
        </w:rPr>
        <w:t xml:space="preserve">as premissas que sustentam a classificação de risco produzida pela MARIAH. </w:t>
      </w:r>
      <w:r w:rsidR="009C4836" w:rsidRPr="00903152">
        <w:rPr>
          <w:rFonts w:ascii="Times New Roman" w:hAnsi="Times New Roman" w:cs="Times New Roman"/>
          <w:sz w:val="24"/>
          <w:szCs w:val="24"/>
        </w:rPr>
        <w:t xml:space="preserve">Este texto é para leitores técnicos, como estatísticos, metodologistas, integrantes de CEP e pesquisadores, que precisam auditar, criticar ou entender as decisões do instrumento. </w:t>
      </w:r>
      <w:r w:rsidRPr="00903152">
        <w:rPr>
          <w:rFonts w:ascii="Times New Roman" w:hAnsi="Times New Roman" w:cs="Times New Roman"/>
          <w:sz w:val="24"/>
          <w:szCs w:val="24"/>
        </w:rPr>
        <w:t>Não constitui convite à condução de validação por nenhum leitor em particular: a validação empírica é prospectiva e tem trajetória própria, descrita ao final.</w:t>
      </w:r>
    </w:p>
    <w:p w14:paraId="7116BF96" w14:textId="77777777" w:rsidR="00903152" w:rsidRDefault="00903152">
      <w:pPr>
        <w:spacing w:after="120" w:line="360" w:lineRule="auto"/>
        <w:jc w:val="both"/>
      </w:pPr>
      <w:r>
        <w:rPr>
          <w:rFonts w:ascii="Times New Roman" w:hAnsi="Times New Roman" w:cs="Times New Roman"/>
          <w:sz w:val="24"/>
          <w:szCs w:val="24"/>
        </w:rPr>
        <w:t>As premissas da MARIAH organizam-se em três camadas: (i) o que decorre da norma; (ii) o que foi adotado na elaboração da matriz, com base no referencial normativo e na literatura sistematizada no próprio Guia; e (iii) o que permanece pendente de validação empírica, objeto do protocolo descrito na Seção de Validação Local (Caderno 2 do Guia). O documento apresenta as principais decisões metodológicas e suas justificativas, indicando o que já pode ser submetido a julgamento técnico e o que, por ora, ainda não pode.</w:t>
      </w:r>
    </w:p>
    <w:p w14:paraId="0D4554C8" w14:textId="77777777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1. Camada normativa (não está em discussão)</w:t>
      </w:r>
    </w:p>
    <w:p w14:paraId="37D22C16" w14:textId="531ED27B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Os quatro níveis de risco (I, II, III, IV) seguem a categorização do Conselho Nacional de Saúde</w:t>
      </w:r>
      <w:r w:rsidR="009E0D48" w:rsidRPr="00903152">
        <w:rPr>
          <w:rFonts w:ascii="Times New Roman" w:hAnsi="Times New Roman" w:cs="Times New Roman"/>
          <w:sz w:val="24"/>
          <w:szCs w:val="24"/>
        </w:rPr>
        <w:t>, quais sejam:</w:t>
      </w:r>
      <w:r w:rsidRPr="00903152">
        <w:rPr>
          <w:rFonts w:ascii="Times New Roman" w:hAnsi="Times New Roman" w:cs="Times New Roman"/>
          <w:sz w:val="24"/>
          <w:szCs w:val="24"/>
        </w:rPr>
        <w:t xml:space="preserve"> baixo, moderado, alto e crítico</w:t>
      </w:r>
      <w:r w:rsidR="009E0D48" w:rsidRPr="00903152">
        <w:rPr>
          <w:rFonts w:ascii="Times New Roman" w:hAnsi="Times New Roman" w:cs="Times New Roman"/>
          <w:sz w:val="24"/>
          <w:szCs w:val="24"/>
        </w:rPr>
        <w:t>,</w:t>
      </w:r>
      <w:r w:rsidRPr="00903152">
        <w:rPr>
          <w:rFonts w:ascii="Times New Roman" w:hAnsi="Times New Roman" w:cs="Times New Roman"/>
          <w:sz w:val="24"/>
          <w:szCs w:val="24"/>
        </w:rPr>
        <w:t xml:space="preserve"> fixada pelas Resoluções CNS n.º 466/2012, 510/2016 e 738/2024.</w:t>
      </w:r>
    </w:p>
    <w:p w14:paraId="14F22103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A escala é tratada como ordinal, não intervalar: não se assume que a distância semântica entre Nível I e II equivalha à distância entre Nível III e IV.</w:t>
      </w:r>
    </w:p>
    <w:p w14:paraId="27E91B7A" w14:textId="6BA411AF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Os eixos temáticos da Versão A (Eixos 1 a 5, e o Eixo 3.b condicional à Res. 738) derivam do mapeamento normativo e da literatura ética sobre IA em pesquisa com seres humanos. Foram tratados como dimensões conceitualmente independentes do risco</w:t>
      </w:r>
      <w:r w:rsidR="009E0D48" w:rsidRPr="00903152">
        <w:rPr>
          <w:rFonts w:ascii="Times New Roman" w:hAnsi="Times New Roman" w:cs="Times New Roman"/>
          <w:sz w:val="24"/>
          <w:szCs w:val="24"/>
        </w:rPr>
        <w:t>, ou seja,</w:t>
      </w:r>
      <w:r w:rsidRPr="00903152">
        <w:rPr>
          <w:rFonts w:ascii="Times New Roman" w:hAnsi="Times New Roman" w:cs="Times New Roman"/>
          <w:sz w:val="24"/>
          <w:szCs w:val="24"/>
        </w:rPr>
        <w:t xml:space="preserve"> uma decisão teórica, não um achado empírico.</w:t>
      </w:r>
    </w:p>
    <w:p w14:paraId="34CFD151" w14:textId="72D1FDA4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2. Camada de elaboração</w:t>
      </w:r>
      <w:r w:rsidR="009E0D48" w:rsidRPr="00903152">
        <w:rPr>
          <w:rFonts w:ascii="Times New Roman" w:hAnsi="Times New Roman" w:cs="Times New Roman"/>
          <w:sz w:val="24"/>
          <w:szCs w:val="24"/>
        </w:rPr>
        <w:t xml:space="preserve">: </w:t>
      </w:r>
      <w:r w:rsidRPr="00903152">
        <w:rPr>
          <w:rFonts w:ascii="Times New Roman" w:hAnsi="Times New Roman" w:cs="Times New Roman"/>
          <w:sz w:val="24"/>
          <w:szCs w:val="24"/>
        </w:rPr>
        <w:t>decisões adotadas na construção da matriz</w:t>
      </w:r>
    </w:p>
    <w:p w14:paraId="239DDA88" w14:textId="7E3D4B89" w:rsidR="002214C8" w:rsidRPr="00903152" w:rsidRDefault="00000000" w:rsidP="00903152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 xml:space="preserve">As decisões aqui descritas foram adotadas pela organização na elaboração da matriz, a partir do referencial normativo e da literatura sistematizada para o Guia. </w:t>
      </w:r>
      <w:r w:rsidR="009E0D48" w:rsidRPr="00903152">
        <w:rPr>
          <w:rFonts w:ascii="Times New Roman" w:hAnsi="Times New Roman" w:cs="Times New Roman"/>
          <w:sz w:val="24"/>
          <w:szCs w:val="24"/>
        </w:rPr>
        <w:t xml:space="preserve">A matriz, agora na versão do Guia para o GT (Junho/2026), está aberta a sugestões editoriais e de mérito, pois não </w:t>
      </w:r>
      <w:r w:rsidR="009E0D48" w:rsidRPr="00903152">
        <w:rPr>
          <w:rFonts w:ascii="Times New Roman" w:hAnsi="Times New Roman" w:cs="Times New Roman"/>
          <w:sz w:val="24"/>
          <w:szCs w:val="24"/>
        </w:rPr>
        <w:lastRenderedPageBreak/>
        <w:t>reflete a deliberação colegiada do Grupo de Trabalho.</w:t>
      </w:r>
      <w:r w:rsidRPr="00903152">
        <w:rPr>
          <w:rFonts w:ascii="Times New Roman" w:hAnsi="Times New Roman" w:cs="Times New Roman"/>
          <w:sz w:val="24"/>
          <w:szCs w:val="24"/>
        </w:rPr>
        <w:t xml:space="preserve"> Eventuais ajustes a essas decisões serão consolidados ao final do período de leitura.</w:t>
      </w:r>
    </w:p>
    <w:p w14:paraId="79D55F88" w14:textId="1C06EAF1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2.1 Versão A</w:t>
      </w:r>
      <w:r w:rsidR="009E0D48" w:rsidRPr="00903152">
        <w:rPr>
          <w:rFonts w:ascii="Times New Roman" w:hAnsi="Times New Roman" w:cs="Times New Roman"/>
          <w:sz w:val="24"/>
          <w:szCs w:val="24"/>
        </w:rPr>
        <w:t>:</w:t>
      </w:r>
      <w:r w:rsidRPr="00903152">
        <w:rPr>
          <w:rFonts w:ascii="Times New Roman" w:hAnsi="Times New Roman" w:cs="Times New Roman"/>
          <w:sz w:val="24"/>
          <w:szCs w:val="24"/>
        </w:rPr>
        <w:t xml:space="preserve"> regra qualitativa por eixo</w:t>
      </w:r>
    </w:p>
    <w:p w14:paraId="09BED33B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Thresholds por eixo (regra padrão): 0 questões de risco → Nível I; 1–2 → Nível II; 3–4 → Nível III; 5 ou mais → Nível IV. Calibração teórica, não derivada de dados.</w:t>
      </w:r>
    </w:p>
    <w:p w14:paraId="78BA246B" w14:textId="2BCC4E79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 xml:space="preserve">Regra de consolidação por máximo: o nível final é o mais alto observado entre todos os eixos aplicáveis. 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>Trata-se de decisão deliberadamente conservadora, alinhada ao princípio da precaução em ética de pesquisa</w:t>
      </w:r>
      <w:r w:rsidR="009E0D48" w:rsidRPr="00903152">
        <w:rPr>
          <w:rFonts w:ascii="Times New Roman" w:hAnsi="Times New Roman" w:cs="Times New Roman"/>
          <w:sz w:val="24"/>
          <w:szCs w:val="24"/>
        </w:rPr>
        <w:t>. As</w:t>
      </w:r>
      <w:r w:rsidRPr="00903152">
        <w:rPr>
          <w:rFonts w:ascii="Times New Roman" w:hAnsi="Times New Roman" w:cs="Times New Roman"/>
          <w:sz w:val="24"/>
          <w:szCs w:val="24"/>
        </w:rPr>
        <w:t xml:space="preserve"> alternativas estatísticas (média, mediana, soma ponderada) foram preteridas na elaboração por suavizarem sinais críticos em eixos específicos.</w:t>
      </w:r>
    </w:p>
    <w:p w14:paraId="18142099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Regra especial do Eixo 3.b (Res. 738/2024): 0 → Nível I (não eleva); 1–2 → Nível III; 3 ou mais → Nível IV. O Nível II é deliberadamente saltado neste eixo, refletindo o entendimento de que problemas com bancos de dados de pesquisa não admitem categoria moderada intermediária.</w:t>
      </w:r>
    </w:p>
    <w:p w14:paraId="57334D7F" w14:textId="3582BCAF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Questões eliminatórias (modo Res. 738): quando acionadas, classificam o protocolo como “não avaliável pela MARIAH” Somam-se ainda itens de diligência (Eixo 3.b / Bloco 6.b) que, não atendidos, devolvem o protocolo sem análise de mérito.</w:t>
      </w:r>
      <w:r w:rsidR="00903152">
        <w:rPr>
          <w:rFonts w:ascii="Times New Roman" w:hAnsi="Times New Roman" w:cs="Times New Roman"/>
          <w:sz w:val="24"/>
          <w:szCs w:val="24"/>
        </w:rPr>
        <w:t xml:space="preserve">, </w:t>
      </w:r>
      <w:r w:rsidRPr="00903152">
        <w:rPr>
          <w:rFonts w:ascii="Times New Roman" w:hAnsi="Times New Roman" w:cs="Times New Roman"/>
          <w:sz w:val="24"/>
          <w:szCs w:val="24"/>
        </w:rPr>
        <w:t>saída categorial que sobrescreve a soma e exige análise individualizada do colegiado.</w:t>
      </w:r>
    </w:p>
    <w:p w14:paraId="6630D8A7" w14:textId="3F2869FA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2.2 Versão B</w:t>
      </w:r>
      <w:r w:rsidR="00903152">
        <w:rPr>
          <w:rFonts w:ascii="Times New Roman" w:hAnsi="Times New Roman" w:cs="Times New Roman"/>
          <w:sz w:val="24"/>
          <w:szCs w:val="24"/>
        </w:rPr>
        <w:t>:</w:t>
      </w:r>
      <w:r w:rsidRPr="00903152">
        <w:rPr>
          <w:rFonts w:ascii="Times New Roman" w:hAnsi="Times New Roman" w:cs="Times New Roman"/>
          <w:sz w:val="24"/>
          <w:szCs w:val="24"/>
        </w:rPr>
        <w:t xml:space="preserve"> pontuação quantitativa por bloco</w:t>
      </w:r>
    </w:p>
    <w:p w14:paraId="7AF45E7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Pesos por questão dentro de cada um dos sete blocos foram atribuídos na elaboração da matriz, com base no referencial normativo e na literatura. Não houve, nesta fase, deliberação colegiada com voto ponderado, análise fatorial confirmatória, regressão sobre desfechos éticos, nem elicitação probabilística estruturada (Delphi quantitativo).</w:t>
      </w:r>
    </w:p>
    <w:p w14:paraId="0BDA3A8E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Modelo aditivo: a pontuação total é a soma das pontuações dos blocos. Assume-se aditividade dos efeitos de risco; não há termos de interação nem ponderação multiplicativa entre blocos.</w:t>
      </w:r>
    </w:p>
    <w:p w14:paraId="4E051C32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Cláusula de Prevalência Ética: se P4.1 ou P4.2 = Sim, o protocolo é forçado a Nível IV, sobrescrevendo a soma. Trata-se de regra deontológica embutida na escala — quebra deliberada da aditividade, adotada na elaboração como salvaguarda ética.</w:t>
      </w:r>
    </w:p>
    <w:p w14:paraId="3517965D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Bloco 7 (Mitigação) é bidirecional: questões somam pontos quando “Não” (sem mitigação, risco preservado) e subtraem quando “Sim” (mitigação aplicada), com piso de zero. A mitigação reduz o escore mas não gera “crédito” transferível abaixo de zero. O bloco divide-se em três subblocos — 7A (consultas), 7B (medidas de redução) e 7C (evidências de transparência, em regime de só-abate: presentes subtraem, ausentes não somam).</w:t>
      </w:r>
    </w:p>
    <w:p w14:paraId="64F02C59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lastRenderedPageBreak/>
        <w:t>Pontos de corte para os quatro níveis: calibrados teoricamente, com ajuste proporcional quando o Bloco 6.b (Res. 738) está ativo. Os limites operacionais estão na Tabela 1.</w:t>
      </w:r>
    </w:p>
    <w:p w14:paraId="6CE245DE" w14:textId="355C1F49" w:rsidR="002214C8" w:rsidRPr="00903152" w:rsidRDefault="00000000" w:rsidP="00903152">
      <w:pPr>
        <w:pStyle w:val="Heading2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Tabela 1 Pontos de corte da Versão 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214C8" w:rsidRPr="00903152" w14:paraId="10070C14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F594C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197FE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Pontuação máxima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0CDE2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Faixas (I · II · III · IV)</w:t>
            </w:r>
          </w:p>
        </w:tc>
      </w:tr>
      <w:tr w:rsidR="002214C8" w:rsidRPr="00903152" w14:paraId="0C6930C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1ED9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Sem banco de dados (Blocos 1–7)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764E5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275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654A0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≤0–58 · 59–127 · 128–208 · ≥209</w:t>
            </w:r>
          </w:p>
        </w:tc>
      </w:tr>
      <w:tr w:rsidR="002214C8" w:rsidRPr="00903152" w14:paraId="3C81825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1140A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Com banco de dados (inclui Bloco 6.b, Res. 738)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AA3FF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304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1161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≤0–64 · 65–141 · 142–230 · ≥231</w:t>
            </w:r>
          </w:p>
        </w:tc>
      </w:tr>
      <w:tr w:rsidR="00903152" w:rsidRPr="00903152" w14:paraId="17CF2E93" w14:textId="77777777" w:rsidTr="00EC64B0"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DFC27" w14:textId="54813FDE" w:rsidR="00903152" w:rsidRPr="00903152" w:rsidRDefault="00903152" w:rsidP="00903152">
            <w:pPr>
              <w:spacing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6B7280"/>
                <w:sz w:val="24"/>
                <w:szCs w:val="24"/>
              </w:rPr>
              <w:t xml:space="preserve">Nota: </w:t>
            </w:r>
            <w:r w:rsidRPr="00903152">
              <w:rPr>
                <w:rFonts w:ascii="Times New Roman" w:hAnsi="Times New Roman" w:cs="Times New Roman"/>
                <w:color w:val="6B7280"/>
                <w:sz w:val="24"/>
                <w:szCs w:val="24"/>
              </w:rPr>
              <w:t>Os pontos de corte derivam das frações fixas do baseline 238 (50/238, 110/238, 180/238) aplicadas ao teto teórico vigente, com arredondamento de meia-unidade para cima. Com banco de dados, o teto teórico é 304 e o teto avaliável é 297 (descontada a questão eliminatória P6.b.2). A calibração definitiva é prospectiva — esperam-se ajustes após a observação da distribuição empírica (Frente 2 da Validação Local).</w:t>
            </w:r>
          </w:p>
        </w:tc>
      </w:tr>
    </w:tbl>
    <w:p w14:paraId="0D83BE97" w14:textId="4D07627D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3. Camada empírica</w:t>
      </w:r>
      <w:r w:rsidR="00903152">
        <w:rPr>
          <w:rFonts w:ascii="Times New Roman" w:hAnsi="Times New Roman" w:cs="Times New Roman"/>
          <w:sz w:val="24"/>
          <w:szCs w:val="24"/>
        </w:rPr>
        <w:t xml:space="preserve"> </w:t>
      </w:r>
      <w:r w:rsidRPr="00903152">
        <w:rPr>
          <w:rFonts w:ascii="Times New Roman" w:hAnsi="Times New Roman" w:cs="Times New Roman"/>
          <w:sz w:val="24"/>
          <w:szCs w:val="24"/>
        </w:rPr>
        <w:t>pendente, e objeto da Validação Local (Caderno 2)</w:t>
      </w:r>
    </w:p>
    <w:p w14:paraId="123356E3" w14:textId="77777777" w:rsidR="002214C8" w:rsidRPr="00903152" w:rsidRDefault="00000000" w:rsidP="00903152">
      <w:pPr>
        <w:spacing w:after="120" w:line="360" w:lineRule="auto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Quando perguntada “como a MARIAH foi validada psicometricamente?”, a resposta honesta é: ainda não foi. A validação empírica é prospectiva e ocorrerá na medida em que CEPs adotarem voluntariamente o protocolo descrito na Seção de Validação Local (Caderno 2 do Guia), conduzindo-o sobre a casuística que efetivamente lhes for submetida. Não há, no momento, especialistas pré-designados nem cronograma centralizado para a validação: o desenho é deliberadamente descentralizado e cumulativo. A Seção de Validação Local (Caderno 2) define três frentes mínimas:</w:t>
      </w:r>
    </w:p>
    <w:p w14:paraId="56990680" w14:textId="1CDF83E5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sz w:val="24"/>
          <w:szCs w:val="24"/>
        </w:rPr>
        <w:t>Frente 1</w:t>
      </w:r>
      <w:r w:rsidR="0090315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 xml:space="preserve"> Confiabilidade interavaliador (Versão A): </w:t>
      </w:r>
      <w:r w:rsidRPr="00903152">
        <w:rPr>
          <w:rFonts w:ascii="Times New Roman" w:hAnsi="Times New Roman" w:cs="Times New Roman"/>
          <w:sz w:val="24"/>
          <w:szCs w:val="24"/>
        </w:rPr>
        <w:t>verifica se dois ou mais membros do CEP, ao aplicarem a Versão A ao mesmo protocolo de forma independente, chegam à mesma classificação</w:t>
      </w:r>
      <w:r w:rsidR="00BA7E35">
        <w:rPr>
          <w:rFonts w:ascii="Times New Roman" w:hAnsi="Times New Roman" w:cs="Times New Roman"/>
          <w:sz w:val="24"/>
          <w:szCs w:val="24"/>
        </w:rPr>
        <w:t xml:space="preserve"> (</w:t>
      </w:r>
      <w:r w:rsidRPr="00903152">
        <w:rPr>
          <w:rFonts w:ascii="Times New Roman" w:hAnsi="Times New Roman" w:cs="Times New Roman"/>
          <w:sz w:val="24"/>
          <w:szCs w:val="24"/>
        </w:rPr>
        <w:t>kappa</w:t>
      </w:r>
      <w:r w:rsidR="00BA7E35">
        <w:rPr>
          <w:rFonts w:ascii="Times New Roman" w:hAnsi="Times New Roman" w:cs="Times New Roman"/>
          <w:sz w:val="24"/>
          <w:szCs w:val="24"/>
        </w:rPr>
        <w:t>).</w:t>
      </w:r>
      <w:r w:rsidRPr="009031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9B33A4" w14:textId="2ABA4D7D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sz w:val="24"/>
          <w:szCs w:val="24"/>
        </w:rPr>
        <w:t>Frente 2</w:t>
      </w:r>
      <w:r w:rsidR="0090315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 xml:space="preserve"> Distribuição empírica nos quatro níveis (Versão B): </w:t>
      </w:r>
      <w:r w:rsidRPr="00903152">
        <w:rPr>
          <w:rFonts w:ascii="Times New Roman" w:hAnsi="Times New Roman" w:cs="Times New Roman"/>
          <w:sz w:val="24"/>
          <w:szCs w:val="24"/>
        </w:rPr>
        <w:t>examina como a casuística do CEP se distribui nos níveis e identifica concentrações próximas aos pontos de corte, informando ajustes futuros de calibração.</w:t>
      </w:r>
    </w:p>
    <w:p w14:paraId="2818FDEF" w14:textId="1C630B34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sz w:val="24"/>
          <w:szCs w:val="24"/>
        </w:rPr>
        <w:t>Frente 3</w:t>
      </w:r>
      <w:r w:rsidR="0090315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 xml:space="preserve"> Convergência entre Versões A e B (modo triagem): </w:t>
      </w:r>
      <w:r w:rsidRPr="00903152">
        <w:rPr>
          <w:rFonts w:ascii="Times New Roman" w:hAnsi="Times New Roman" w:cs="Times New Roman"/>
          <w:sz w:val="24"/>
          <w:szCs w:val="24"/>
        </w:rPr>
        <w:t>tabela de contingência 4×4 cruzando as classificações das duas versões para protocolos avaliados em ambas; permite identificar discordância sistemática entre os dois instrumentos.</w:t>
      </w:r>
    </w:p>
    <w:p w14:paraId="61D28E1E" w14:textId="77777777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3.1 O que a Validação Local deliberadamente NÃO cobre</w:t>
      </w:r>
    </w:p>
    <w:p w14:paraId="65A2FBF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lastRenderedPageBreak/>
        <w:t>Validade preditiva longitudinal (capacidade do instrumento de prever desfechos éticos reais de protocolos aprovados). Demandaria seguimento prospectivo e está fora do escopo desta primeira fase.</w:t>
      </w:r>
    </w:p>
    <w:p w14:paraId="38AA6371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Validade de construto via análise fatorial confirmatória sobre os eixos da Versão A ou os blocos da Versão B.</w:t>
      </w:r>
    </w:p>
    <w:p w14:paraId="7BB5BEEA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Análise de sensibilidade dos pesos (como variações pequenas nos pontos por questão alteram a classificação de protocolos limítrofes).</w:t>
      </w:r>
    </w:p>
    <w:p w14:paraId="066A012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Calibração formal dos pontos de corte por curvas ROC contra um padrão-ouro — inexistente para este domínio no estado atual do conhecimento.</w:t>
      </w:r>
    </w:p>
    <w:p w14:paraId="2BBC2A63" w14:textId="77777777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4. Síntese</w:t>
      </w:r>
    </w:p>
    <w:p w14:paraId="1B6DE1F3" w14:textId="77777777" w:rsidR="00903152" w:rsidRDefault="00000000" w:rsidP="00903152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 xml:space="preserve">A MARIAH é um instrumento de classificação de risco com fundamento normativo e teórico, cujas regras foram adotadas na elaboração da matriz a partir do referencial normativo e da literatura sistematizada no Guia, com decisões conservadoras explícitas (regra do máximo na Versão A; Cláusula de Prevalência Ética forçando Nível IV na Versão B). </w:t>
      </w:r>
    </w:p>
    <w:p w14:paraId="44EACED4" w14:textId="77777777" w:rsidR="00903152" w:rsidRDefault="00903152" w:rsidP="00903152">
      <w:pPr>
        <w:spacing w:after="120" w:line="360" w:lineRule="auto"/>
        <w:ind w:firstLine="720"/>
        <w:jc w:val="both"/>
      </w:pPr>
      <w:r>
        <w:rPr>
          <w:rFonts w:ascii="Times New Roman" w:hAnsi="Times New Roman" w:cs="Times New Roman"/>
          <w:sz w:val="24"/>
          <w:szCs w:val="24"/>
        </w:rPr>
        <w:t>A escala é ordinal, e sua validação psicométrica é prospectiva, a ser conduzida pelos CEPs que adotarem o instrumento, nos termos da Seção de Validação Local (Caderno 2 do Guia). As três frentes propostas — confiabilidade interavaliador, distribuição empírica e convergência entre versões — constituem o núcleo mínimo de evidência empírica para futuras revisões do instrumento.</w:t>
      </w:r>
    </w:p>
    <w:p w14:paraId="26862DEF" w14:textId="77777777" w:rsidR="002214C8" w:rsidRPr="00903152" w:rsidRDefault="00000000" w:rsidP="00903152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i/>
          <w:iCs/>
          <w:sz w:val="24"/>
          <w:szCs w:val="24"/>
        </w:rPr>
        <w:t>Observações e críticas técnicas podem ser encaminhadas, em qualquer momento, à CGREP (cgrep@saude.gov.br) e serão consideradas em ciclos futuros de revisão do Guia e da matriz.</w:t>
      </w:r>
    </w:p>
    <w:sectPr w:rsidR="002214C8" w:rsidRPr="0090315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2E5F4" w14:textId="77777777" w:rsidR="00B134D8" w:rsidRDefault="00B134D8">
      <w:r>
        <w:separator/>
      </w:r>
    </w:p>
  </w:endnote>
  <w:endnote w:type="continuationSeparator" w:id="0">
    <w:p w14:paraId="5E98A523" w14:textId="77777777" w:rsidR="00B134D8" w:rsidRDefault="00B134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578A5" w14:textId="77777777" w:rsidR="002214C8" w:rsidRDefault="00000000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9C4836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· GT INAEP · Ministério da Saúde ·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5495E" w14:textId="77777777" w:rsidR="00B134D8" w:rsidRDefault="00B134D8">
      <w:r>
        <w:separator/>
      </w:r>
    </w:p>
  </w:footnote>
  <w:footnote w:type="continuationSeparator" w:id="0">
    <w:p w14:paraId="539DD887" w14:textId="77777777" w:rsidR="00B134D8" w:rsidRDefault="00B134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04F33" w14:textId="77777777" w:rsidR="002214C8" w:rsidRDefault="00000000">
    <w:pPr>
      <w:jc w:val="right"/>
    </w:pPr>
    <w:r>
      <w:rPr>
        <w:i/>
        <w:iCs/>
        <w:color w:val="6B7280"/>
        <w:sz w:val="16"/>
        <w:szCs w:val="16"/>
      </w:rPr>
      <w:t>MARIAH — Nota técnica · Premissas metodológicas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1B5C"/>
    <w:multiLevelType w:val="hybridMultilevel"/>
    <w:tmpl w:val="B06A5D6C"/>
    <w:lvl w:ilvl="0" w:tplc="76D40EF8">
      <w:start w:val="1"/>
      <w:numFmt w:val="bullet"/>
      <w:lvlText w:val="●"/>
      <w:lvlJc w:val="left"/>
      <w:pPr>
        <w:ind w:left="720" w:hanging="360"/>
      </w:pPr>
    </w:lvl>
    <w:lvl w:ilvl="1" w:tplc="81005CAC">
      <w:start w:val="1"/>
      <w:numFmt w:val="bullet"/>
      <w:lvlText w:val="○"/>
      <w:lvlJc w:val="left"/>
      <w:pPr>
        <w:ind w:left="1440" w:hanging="360"/>
      </w:pPr>
    </w:lvl>
    <w:lvl w:ilvl="2" w:tplc="AE1CE924">
      <w:start w:val="1"/>
      <w:numFmt w:val="bullet"/>
      <w:lvlText w:val="■"/>
      <w:lvlJc w:val="left"/>
      <w:pPr>
        <w:ind w:left="2160" w:hanging="360"/>
      </w:pPr>
    </w:lvl>
    <w:lvl w:ilvl="3" w:tplc="9072E5DA">
      <w:start w:val="1"/>
      <w:numFmt w:val="bullet"/>
      <w:lvlText w:val="●"/>
      <w:lvlJc w:val="left"/>
      <w:pPr>
        <w:ind w:left="2880" w:hanging="360"/>
      </w:pPr>
    </w:lvl>
    <w:lvl w:ilvl="4" w:tplc="8A5A26A0">
      <w:start w:val="1"/>
      <w:numFmt w:val="bullet"/>
      <w:lvlText w:val="○"/>
      <w:lvlJc w:val="left"/>
      <w:pPr>
        <w:ind w:left="3600" w:hanging="360"/>
      </w:pPr>
    </w:lvl>
    <w:lvl w:ilvl="5" w:tplc="4D04F018">
      <w:start w:val="1"/>
      <w:numFmt w:val="bullet"/>
      <w:lvlText w:val="■"/>
      <w:lvlJc w:val="left"/>
      <w:pPr>
        <w:ind w:left="4320" w:hanging="360"/>
      </w:pPr>
    </w:lvl>
    <w:lvl w:ilvl="6" w:tplc="6CF21F5C">
      <w:start w:val="1"/>
      <w:numFmt w:val="bullet"/>
      <w:lvlText w:val="●"/>
      <w:lvlJc w:val="left"/>
      <w:pPr>
        <w:ind w:left="5040" w:hanging="360"/>
      </w:pPr>
    </w:lvl>
    <w:lvl w:ilvl="7" w:tplc="7B24AB7A">
      <w:start w:val="1"/>
      <w:numFmt w:val="bullet"/>
      <w:lvlText w:val="●"/>
      <w:lvlJc w:val="left"/>
      <w:pPr>
        <w:ind w:left="5760" w:hanging="360"/>
      </w:pPr>
    </w:lvl>
    <w:lvl w:ilvl="8" w:tplc="EAFA14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3900E27"/>
    <w:multiLevelType w:val="hybridMultilevel"/>
    <w:tmpl w:val="2E281AA8"/>
    <w:lvl w:ilvl="0" w:tplc="F7BC91B6">
      <w:start w:val="1"/>
      <w:numFmt w:val="bullet"/>
      <w:lvlText w:val="•"/>
      <w:lvlJc w:val="left"/>
      <w:pPr>
        <w:ind w:left="540" w:hanging="270"/>
      </w:pPr>
    </w:lvl>
    <w:lvl w:ilvl="1" w:tplc="7AC449E4">
      <w:numFmt w:val="decimal"/>
      <w:lvlText w:val=""/>
      <w:lvlJc w:val="left"/>
    </w:lvl>
    <w:lvl w:ilvl="2" w:tplc="1C16F5CA">
      <w:numFmt w:val="decimal"/>
      <w:lvlText w:val=""/>
      <w:lvlJc w:val="left"/>
    </w:lvl>
    <w:lvl w:ilvl="3" w:tplc="E7EA9A9A">
      <w:numFmt w:val="decimal"/>
      <w:lvlText w:val=""/>
      <w:lvlJc w:val="left"/>
    </w:lvl>
    <w:lvl w:ilvl="4" w:tplc="7D524584">
      <w:numFmt w:val="decimal"/>
      <w:lvlText w:val=""/>
      <w:lvlJc w:val="left"/>
    </w:lvl>
    <w:lvl w:ilvl="5" w:tplc="3C305F6C">
      <w:numFmt w:val="decimal"/>
      <w:lvlText w:val=""/>
      <w:lvlJc w:val="left"/>
    </w:lvl>
    <w:lvl w:ilvl="6" w:tplc="38F0D2B0">
      <w:numFmt w:val="decimal"/>
      <w:lvlText w:val=""/>
      <w:lvlJc w:val="left"/>
    </w:lvl>
    <w:lvl w:ilvl="7" w:tplc="2EE8C5B6">
      <w:numFmt w:val="decimal"/>
      <w:lvlText w:val=""/>
      <w:lvlJc w:val="left"/>
    </w:lvl>
    <w:lvl w:ilvl="8" w:tplc="6A107898">
      <w:numFmt w:val="decimal"/>
      <w:lvlText w:val=""/>
      <w:lvlJc w:val="left"/>
    </w:lvl>
  </w:abstractNum>
  <w:num w:numId="1" w16cid:durableId="349067423">
    <w:abstractNumId w:val="0"/>
    <w:lvlOverride w:ilvl="0">
      <w:startOverride w:val="1"/>
    </w:lvlOverride>
  </w:num>
  <w:num w:numId="2" w16cid:durableId="12697797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4C8"/>
    <w:rsid w:val="00160964"/>
    <w:rsid w:val="002214C8"/>
    <w:rsid w:val="005C596F"/>
    <w:rsid w:val="00621974"/>
    <w:rsid w:val="007A10A5"/>
    <w:rsid w:val="007F1C28"/>
    <w:rsid w:val="00816AEB"/>
    <w:rsid w:val="008A5680"/>
    <w:rsid w:val="00903152"/>
    <w:rsid w:val="00935DC8"/>
    <w:rsid w:val="00996086"/>
    <w:rsid w:val="009C4836"/>
    <w:rsid w:val="009E0D48"/>
    <w:rsid w:val="00B134D8"/>
    <w:rsid w:val="00BA7E35"/>
    <w:rsid w:val="00FE6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3A2BD1"/>
  <w15:docId w15:val="{D19C32CD-FC26-FA41-8414-E4956A81A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F766E"/>
      <w:sz w:val="26"/>
      <w:szCs w:val="26"/>
    </w:rPr>
  </w:style>
  <w:style w:type="paragraph" w:styleId="Heading2">
    <w:name w:val="heading 2"/>
    <w:uiPriority w:val="9"/>
    <w:unhideWhenUsed/>
    <w:qFormat/>
    <w:pPr>
      <w:spacing w:before="180" w:after="90"/>
      <w:outlineLvl w:val="1"/>
    </w:pPr>
    <w:rPr>
      <w:b/>
      <w:bCs/>
      <w:color w:val="1F293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1213</Words>
  <Characters>6652</Characters>
  <Application>Microsoft Office Word</Application>
  <DocSecurity>0</DocSecurity>
  <Lines>117</Lines>
  <Paragraphs>47</Paragraphs>
  <ScaleCrop>false</ScaleCrop>
  <Company/>
  <LinksUpToDate>false</LinksUpToDate>
  <CharactersWithSpaces>7834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Premissas metodológicas da classificação de risco da MARIAH</dc:title>
  <dc:creator>MARIAH / GT INAEP</dc:creator>
  <dc:description>Nota técnica para apreciação estatística</dc:description>
  <cp:lastModifiedBy>Fabiano Tonaco Borges</cp:lastModifiedBy>
  <cp:revision>2</cp:revision>
  <dcterms:created xsi:type="dcterms:W3CDTF">2026-06-14T20:25:00Z</dcterms:created>
  <dcterms:modified xsi:type="dcterms:W3CDTF">2026-06-14T20:25:00Z</dcterms:modified>
</cp:coreProperties>
</file>