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6BB224" w14:textId="77777777" w:rsidR="00EC0D1F" w:rsidRPr="0059027D" w:rsidRDefault="00000000" w:rsidP="0059027D">
      <w:pPr>
        <w:spacing w:after="120" w:line="360" w:lineRule="auto"/>
        <w:contextualSpacing/>
        <w:rPr>
          <w:rFonts w:ascii="Times New Roman" w:hAnsi="Times New Roman" w:cs="Times New Roman"/>
        </w:rPr>
      </w:pPr>
      <w:r>
        <w:rPr>
          <w:rFonts w:ascii="Times New Roman" w:hAnsi="Times New Roman" w:cs="Times New Roman"/>
          <w:b/>
          <w:bCs/>
          <w:sz w:val="32"/>
          <w:szCs w:val="32"/>
        </w:rPr>
        <w:t>VALIDACIÓN LOCAL DE LA MARIAH (DOCUMENTO MARIAH)</w:t>
      </w:r>
    </w:p>
    <w:p w14:paraId="429E0025" w14:textId="77777777" w:rsidR="00EC0D1F" w:rsidRPr="0059027D" w:rsidRDefault="00000000" w:rsidP="0059027D">
      <w:pPr>
        <w:spacing w:after="240" w:line="360" w:lineRule="auto"/>
        <w:contextualSpacing/>
        <w:rPr>
          <w:rFonts w:ascii="Times New Roman" w:hAnsi="Times New Roman" w:cs="Times New Roman"/>
        </w:rPr>
      </w:pPr>
      <w:r>
        <w:rPr>
          <w:rFonts w:ascii="Times New Roman" w:hAnsi="Times New Roman" w:cs="Times New Roman"/>
          <w:b/>
          <w:bCs/>
          <w:sz w:val="28"/>
          <w:szCs w:val="28"/>
        </w:rPr>
        <w:t>Guía de Validación Local de la MARIAH por los Comités de Ética en Pesquisa</w:t>
      </w:r>
    </w:p>
    <w:p w14:paraId="429E0025" w14:textId="77777777" w:rsidR="00EC0D1F" w:rsidRPr="0059027D" w:rsidRDefault="00000000" w:rsidP="0059027D">
      <w:pPr>
        <w:spacing w:after="240" w:line="360" w:lineRule="auto"/>
        <w:contextualSpacing/>
        <w:rPr>
          <w:rFonts w:ascii="Times New Roman" w:hAnsi="Times New Roman" w:cs="Times New Roman"/>
        </w:rPr>
      </w:pPr>
      <w:r>
        <w:rPr>
          <w:rFonts w:ascii="Times New Roman" w:hAnsi="Times New Roman" w:cs="Times New Roman"/>
          <w:i/>
          <w:sz w:val="18"/>
          <w:szCs w:val="18"/>
        </w:rPr>
        <w:t>Esta es una traducción de cortesía. La versión normativa vigente es la versión en portugués (pt-BR).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C0D1F" w:rsidRPr="0059027D" w14:paraId="7D547F0B" w14:textId="77777777">
        <w:tblPrEx>
          <w:tblCellMar>
            <w:top w:w="0" w:type="dxa"/>
            <w:bottom w:w="0" w:type="dxa"/>
          </w:tblCellMar>
        </w:tblPrEx>
        <w:tc>
          <w:tcPr>
            <w:tcW w:w="9360" w:type="dxa"/>
            <w:tcBorders>
              <w:top w:val="single" w:sz="4" w:space="0" w:color="888888"/>
              <w:left w:val="single" w:sz="4" w:space="0" w:color="888888"/>
              <w:bottom w:val="single" w:sz="4" w:space="0" w:color="888888"/>
              <w:right w:val="single" w:sz="4" w:space="0" w:color="888888"/>
            </w:tcBorders>
            <w:shd w:val="clear" w:color="auto" w:fill="EFEFEF"/>
            <w:tcMar>
              <w:top w:w="160" w:type="dxa"/>
              <w:left w:w="200" w:type="dxa"/>
              <w:bottom w:w="160" w:type="dxa"/>
              <w:right w:w="200" w:type="dxa"/>
            </w:tcMar>
          </w:tcPr>
          <w:p w14:paraId="427868F4" w14:textId="77777777" w:rsidR="00EC0D1F" w:rsidRPr="0059027D" w:rsidRDefault="00000000" w:rsidP="0059027D">
            <w:pPr>
              <w:spacing w:after="80" w:line="360" w:lineRule="auto"/>
              <w:contextualSpacing/>
              <w:rPr>
                <w:rFonts w:ascii="Times New Roman" w:hAnsi="Times New Roman" w:cs="Times New Roman"/>
              </w:rPr>
            </w:pPr>
            <w:r>
              <w:rPr>
                <w:rFonts w:ascii="Times New Roman" w:hAnsi="Times New Roman" w:cs="Times New Roman"/>
                <w:b/>
                <w:bCs/>
              </w:rPr>
              <w:t>Cuadro F.1  Guía de lectura de la Validación Local (documento MARIAH)</w:t>
            </w:r>
          </w:p>
          <w:p w14:paraId="205F267E" w14:textId="78704A5E" w:rsidR="00EC0D1F" w:rsidRPr="0059027D" w:rsidRDefault="00000000" w:rsidP="0059027D">
            <w:pPr>
              <w:spacing w:line="360" w:lineRule="auto"/>
              <w:contextualSpacing/>
              <w:jc w:val="both"/>
              <w:rPr>
                <w:rFonts w:ascii="Times New Roman" w:hAnsi="Times New Roman" w:cs="Times New Roman"/>
              </w:rPr>
            </w:pPr>
            <w:r>
              <w:rPr>
                <w:rFonts w:ascii="Times New Roman" w:hAnsi="Times New Roman" w:cs="Times New Roman"/>
              </w:rPr>
              <w:t xml:space="preserve">Esta Sección ofrece un guion práctico para los Comités de Ética en Pesquisa que decidan, por iniciativa institucional propia, validar la Matriz MARIAH en su casuística. No hay un plan nacional centralizado, no hay adhesión formal a un consorcio, no hay plazo de ejecución. Cada CEP aplica lo que le resulte útil, al ritmo que le convenga. La devolución de resultados al Grupo de Trabajo responsable de la guía es facultativa y sirve a la evolución futura del instrumento. Los tres frentes propuestos en F.2 (concordancia entre evaluadores, distribución empírica de los protocolos y convergencia entre las dos versiones de la matriz) pueden ejecutarse en conjunto o por separado. La planilla-modelo que acompaña esta Sección automatiza el registro y el cálculo de los indicadores y prescinde de cualquier software estadístico especializado.</w:t>
            </w:r>
          </w:p>
        </w:tc>
      </w:tr>
    </w:tbl>
    <w:p w14:paraId="2C5D297F" w14:textId="77777777" w:rsidR="0059027D" w:rsidRPr="0059027D" w:rsidRDefault="00000000" w:rsidP="0059027D">
      <w:pPr>
        <w:pStyle w:val="Heading1"/>
        <w:spacing w:line="360" w:lineRule="auto"/>
        <w:contextualSpacing/>
        <w:jc w:val="both"/>
        <w:rPr>
          <w:rFonts w:ascii="Times New Roman" w:hAnsi="Times New Roman" w:cs="Times New Roman"/>
          <w:sz w:val="24"/>
          <w:szCs w:val="24"/>
        </w:rPr>
      </w:pPr>
      <w:r>
        <w:rPr>
          <w:rFonts w:ascii="Times New Roman" w:hAnsi="Times New Roman" w:cs="Times New Roman"/>
          <w:sz w:val="24"/>
          <w:szCs w:val="24"/>
        </w:rPr>
        <w:t>F.1  Por qué validar la MARIAH en su casuística</w:t>
      </w:r>
    </w:p>
    <w:p w14:paraId="43F33605" w14:textId="77777777" w:rsidR="0059027D" w:rsidRPr="0059027D" w:rsidRDefault="00000000" w:rsidP="0059027D">
      <w:pPr>
        <w:pStyle w:val="Heading1"/>
        <w:spacing w:line="360" w:lineRule="auto"/>
        <w:ind w:firstLine="720"/>
        <w:contextualSpacing/>
        <w:jc w:val="both"/>
        <w:rPr>
          <w:rFonts w:ascii="Times New Roman" w:hAnsi="Times New Roman" w:cs="Times New Roman"/>
          <w:b w:val="0"/>
          <w:bCs w:val="0"/>
          <w:sz w:val="24"/>
          <w:szCs w:val="24"/>
        </w:rPr>
      </w:pPr>
      <w:r>
        <w:rPr>
          <w:rFonts w:ascii="Times New Roman" w:hAnsi="Times New Roman" w:cs="Times New Roman"/>
          <w:b w:val="0"/>
          <w:bCs w:val="0"/>
          <w:sz w:val="24"/>
          <w:szCs w:val="24"/>
        </w:rPr>
        <w:t>La Guía es explícita al situar la MARIAH como instrumento de apoyo a la deliberación del Comité de Ética en Pesquisa, y no como norma que vincule su decisión. La adopción de la matriz es elección institucional de cada CEP. Ese mismo espíritu orienta la validación: ningún CEP está obligado a validar la MARIAH, y ningún CEP necesita esperar una decisión central para hacerlo. Cuando el colegiado entienda que vale la pena verificar cómo se comporta la matriz en los protocolos que efectivamente le son presentados, esta Sección de Validación Local ofrece un guion práctico para conducir esa verificación.</w:t>
      </w:r>
    </w:p>
    <w:p w14:paraId="231DBDD0" w14:textId="77777777" w:rsidR="0059027D" w:rsidRPr="0059027D" w:rsidRDefault="00000000" w:rsidP="0059027D">
      <w:pPr>
        <w:pStyle w:val="Heading1"/>
        <w:spacing w:line="360" w:lineRule="auto"/>
        <w:ind w:firstLine="720"/>
        <w:contextualSpacing/>
        <w:jc w:val="both"/>
        <w:rPr>
          <w:rFonts w:ascii="Times New Roman" w:hAnsi="Times New Roman" w:cs="Times New Roman"/>
          <w:b w:val="0"/>
          <w:bCs w:val="0"/>
          <w:sz w:val="24"/>
          <w:szCs w:val="24"/>
        </w:rPr>
      </w:pPr>
      <w:r>
        <w:rPr>
          <w:rFonts w:ascii="Times New Roman" w:hAnsi="Times New Roman" w:cs="Times New Roman"/>
          <w:b w:val="0"/>
          <w:bCs w:val="0"/>
          <w:sz w:val="24"/>
          <w:szCs w:val="24"/>
        </w:rPr>
        <w:t xml:space="preserve">Hay tres razones por las que un CEP puede querer realizar esta validación. La primera es el aprendizaje institucional. La aplicación sistemática de la matriz por dos o más miembros del colegiado revela rápidamente qué preguntas se están interpretando de forma divergente, lo que ofrece un insumo directo para la capacitación deliberativa descrita en el documento MARIAH. La segunda es la cualificación institucional del dictamen. Un CEP que demuestre, con base en su propia casuística, que aplica la MARIAH de modo consistente entre evaluadores, fortalece la credibilidad de sus dictámenes en protocolos con inteligencia artificial ante investigadores, patrocinadores y la sociedad. La tercera es la contribución opcional a la evolución del instrumento. Los puntos de corte actuales de la Versión B son, como la propia Guía reconoce, calibraciones teóricas que </w:t>
        <w:lastRenderedPageBreak/>
        <w:t>merecen ser puestas a prueba empíricamente. Los CEPs que deseen compartir sus observaciones con el Grupo de Trabajo responsable de la guía pueden hacerlo por el canal descrito en F.5.</w:t>
      </w:r>
    </w:p>
    <w:p w14:paraId="025E1DC0" w14:textId="37B7D972" w:rsidR="00EC0D1F" w:rsidRPr="0059027D" w:rsidRDefault="00000000" w:rsidP="0059027D">
      <w:pPr>
        <w:pStyle w:val="Heading1"/>
        <w:spacing w:line="360" w:lineRule="auto"/>
        <w:ind w:firstLine="720"/>
        <w:contextualSpacing/>
        <w:jc w:val="both"/>
        <w:rPr>
          <w:rFonts w:ascii="Times New Roman" w:hAnsi="Times New Roman" w:cs="Times New Roman"/>
          <w:b w:val="0"/>
          <w:bCs w:val="0"/>
          <w:sz w:val="24"/>
          <w:szCs w:val="24"/>
        </w:rPr>
      </w:pPr>
      <w:r>
        <w:rPr>
          <w:rFonts w:ascii="Times New Roman" w:hAnsi="Times New Roman" w:cs="Times New Roman"/>
          <w:b w:val="0"/>
          <w:bCs w:val="0"/>
          <w:sz w:val="24"/>
          <w:szCs w:val="24"/>
        </w:rPr>
        <w:t>Antes del guion, cabe una advertencia. Esta Sección no pretende convertir a los miembros del CEP en estadísticos. Las métricas propuestas en F.4 son las mínimas necesarias para que el colegiado lea sus propios resultados con seguridad, y la planilla-modelo que acompaña esta Sección calcula esas métricas automáticamente. Lo que se espera del CEP es la deliberación colegiada sobre lo que muestran los números, no el cálculo de los números en sí.</w:t>
      </w:r>
    </w:p>
    <w:p w14:paraId="3470EB79" w14:textId="77777777" w:rsidR="0059027D" w:rsidRDefault="00000000" w:rsidP="0059027D">
      <w:pPr>
        <w:pStyle w:val="Heading1"/>
        <w:spacing w:line="360" w:lineRule="auto"/>
        <w:contextualSpacing/>
        <w:jc w:val="both"/>
        <w:rPr>
          <w:rFonts w:ascii="Times New Roman" w:hAnsi="Times New Roman" w:cs="Times New Roman"/>
          <w:b w:val="0"/>
          <w:bCs w:val="0"/>
          <w:sz w:val="24"/>
          <w:szCs w:val="24"/>
        </w:rPr>
      </w:pPr>
      <w:r>
        <w:rPr>
          <w:rFonts w:ascii="Times New Roman" w:hAnsi="Times New Roman" w:cs="Times New Roman"/>
          <w:b w:val="0"/>
          <w:bCs w:val="0"/>
          <w:sz w:val="24"/>
          <w:szCs w:val="24"/>
        </w:rPr>
        <w:t>F.2  Qué puede validarse en tres frentes</w:t>
      </w:r>
    </w:p>
    <w:p w14:paraId="1C9AEF0A" w14:textId="78B78B88" w:rsidR="00EC0D1F" w:rsidRPr="0059027D" w:rsidRDefault="00000000" w:rsidP="0059027D">
      <w:pPr>
        <w:pStyle w:val="Heading1"/>
        <w:spacing w:line="360" w:lineRule="auto"/>
        <w:ind w:firstLine="720"/>
        <w:contextualSpacing/>
        <w:jc w:val="both"/>
        <w:rPr>
          <w:rFonts w:ascii="Times New Roman" w:hAnsi="Times New Roman" w:cs="Times New Roman"/>
          <w:b w:val="0"/>
          <w:bCs w:val="0"/>
          <w:sz w:val="24"/>
          <w:szCs w:val="24"/>
        </w:rPr>
      </w:pPr>
      <w:r>
        <w:rPr>
          <w:rFonts w:ascii="Times New Roman" w:hAnsi="Times New Roman" w:cs="Times New Roman"/>
          <w:b w:val="0"/>
          <w:bCs w:val="0"/>
          <w:sz w:val="22"/>
          <w:szCs w:val="22"/>
        </w:rPr>
        <w:t>Esta Sección propone tres frentes independientes de validación. Cada CEP puede aplicar uno, dos o los tres, en cualquier orden. Los tres comparten la misma unidad muestral: el protocolo de investigación con uso de inteligencia artificial presentado al CEP.</w:t>
      </w:r>
    </w:p>
    <w:p w14:paraId="729F38AD" w14:textId="77777777" w:rsidR="0059027D" w:rsidRPr="0059027D" w:rsidRDefault="00000000" w:rsidP="0059027D">
      <w:pPr>
        <w:pStyle w:val="Heading2"/>
        <w:spacing w:line="360" w:lineRule="auto"/>
        <w:contextualSpacing/>
        <w:rPr>
          <w:rFonts w:ascii="Times New Roman" w:hAnsi="Times New Roman" w:cs="Times New Roman"/>
          <w:sz w:val="24"/>
          <w:szCs w:val="24"/>
        </w:rPr>
      </w:pPr>
      <w:r>
        <w:rPr>
          <w:rFonts w:ascii="Times New Roman" w:hAnsi="Times New Roman" w:cs="Times New Roman"/>
          <w:sz w:val="24"/>
          <w:szCs w:val="24"/>
        </w:rPr>
        <w:t>F.2.1  Concordancia entre evaluadores en la Versión A</w:t>
      </w:r>
    </w:p>
    <w:p w14:paraId="04104B9F" w14:textId="0F07B571" w:rsidR="0059027D" w:rsidRPr="0059027D" w:rsidRDefault="00000000" w:rsidP="0059027D">
      <w:pPr>
        <w:pStyle w:val="Heading2"/>
        <w:spacing w:line="360" w:lineRule="auto"/>
        <w:ind w:firstLine="720"/>
        <w:contextualSpacing/>
        <w:jc w:val="both"/>
        <w:rPr>
          <w:rFonts w:ascii="Times New Roman" w:hAnsi="Times New Roman" w:cs="Times New Roman"/>
          <w:b w:val="0"/>
          <w:bCs w:val="0"/>
          <w:sz w:val="24"/>
          <w:szCs w:val="24"/>
        </w:rPr>
      </w:pPr>
      <w:r>
        <w:rPr>
          <w:rFonts w:ascii="Times New Roman" w:hAnsi="Times New Roman" w:cs="Times New Roman"/>
          <w:b w:val="0"/>
          <w:bCs w:val="0"/>
          <w:sz w:val="24"/>
          <w:szCs w:val="24"/>
        </w:rPr>
        <w:t xml:space="preserve">El primer frente verifica si dos o más integrantes del CEP, al aplicar la Versión A de la MARIAH al mismo protocolo de forma independiente, llegan a la misma clasificación. Es el frente operativamente más sencillo y el que ofrece, desde el punto de vista del aprendizaje institucional, el retorno más inmediato. El colegiado descubre rápidamente en qué ejes hay una lectura convergente y en cuáles hay discordancia sistemática, lo que orienta directamente lo que debe conversarse en la reunión plenaria.</w:t>
      </w:r>
    </w:p>
    <w:p w14:paraId="446735B5" w14:textId="2FAFBDC7" w:rsidR="00EC0D1F" w:rsidRPr="0059027D" w:rsidRDefault="00000000" w:rsidP="0059027D">
      <w:pPr>
        <w:pStyle w:val="Heading2"/>
        <w:spacing w:line="360" w:lineRule="auto"/>
        <w:ind w:firstLine="720"/>
        <w:contextualSpacing/>
        <w:jc w:val="both"/>
        <w:rPr>
          <w:rFonts w:ascii="Times New Roman" w:hAnsi="Times New Roman" w:cs="Times New Roman"/>
          <w:b w:val="0"/>
          <w:bCs w:val="0"/>
          <w:sz w:val="24"/>
          <w:szCs w:val="24"/>
        </w:rPr>
      </w:pPr>
      <w:r>
        <w:rPr>
          <w:rFonts w:ascii="Times New Roman" w:hAnsi="Times New Roman" w:cs="Times New Roman"/>
          <w:b w:val="0"/>
          <w:bCs w:val="0"/>
          <w:sz w:val="24"/>
          <w:szCs w:val="24"/>
        </w:rPr>
        <w:t>La recomendación es de al menos veinte protocolos evaluados en paralelo por dos miembros del CEP, en condiciones de cegamiento mutuo, antes de cualquier deliberación colegiada. Veinte es un piso prudente para que la estimación de concordancia tenga una estabilidad mínima; los CEPs con mayor volumen de protocolos con IA pueden ampliar esa cifra sin perjuicio, y los CEPs con menor volumen pueden ir acumulando evaluaciones a lo largo del tiempo, sin plazo, hasta alcanzarla.</w:t>
      </w:r>
    </w:p>
    <w:p w14:paraId="78843FAD" w14:textId="77777777" w:rsidR="0059027D" w:rsidRDefault="0059027D" w:rsidP="0059027D">
      <w:pPr>
        <w:pStyle w:val="Heading2"/>
        <w:spacing w:line="360" w:lineRule="auto"/>
        <w:contextualSpacing/>
        <w:rPr>
          <w:rFonts w:ascii="Times New Roman" w:hAnsi="Times New Roman" w:cs="Times New Roman"/>
        </w:rPr>
      </w:pPr>
    </w:p>
    <w:p w14:paraId="53864999" w14:textId="61C25D5A" w:rsidR="0059027D" w:rsidRDefault="00000000" w:rsidP="0059027D">
      <w:pPr>
        <w:pStyle w:val="Heading2"/>
        <w:spacing w:line="360" w:lineRule="auto"/>
        <w:contextualSpacing/>
        <w:rPr>
          <w:rFonts w:ascii="Times New Roman" w:hAnsi="Times New Roman" w:cs="Times New Roman"/>
        </w:rPr>
      </w:pPr>
      <w:r>
        <w:rPr>
          <w:rFonts w:ascii="Times New Roman" w:hAnsi="Times New Roman" w:cs="Times New Roman"/>
        </w:rPr>
        <w:t>F.2.2  Distribución empírica de los protocolos en los cuatro niveles</w:t>
      </w:r>
    </w:p>
    <w:p w14:paraId="7F87E3E0" w14:textId="77777777" w:rsidR="0059027D" w:rsidRPr="0059027D" w:rsidRDefault="00000000" w:rsidP="0059027D">
      <w:pPr>
        <w:pStyle w:val="Heading2"/>
        <w:spacing w:line="360" w:lineRule="auto"/>
        <w:ind w:firstLine="720"/>
        <w:contextualSpacing/>
        <w:jc w:val="both"/>
        <w:rPr>
          <w:rFonts w:ascii="Times New Roman" w:hAnsi="Times New Roman" w:cs="Times New Roman"/>
          <w:b w:val="0"/>
          <w:bCs w:val="0"/>
          <w:sz w:val="24"/>
          <w:szCs w:val="24"/>
        </w:rPr>
      </w:pPr>
      <w:r>
        <w:rPr>
          <w:rFonts w:ascii="Times New Roman" w:hAnsi="Times New Roman" w:cs="Times New Roman"/>
          <w:b w:val="0"/>
          <w:bCs w:val="0"/>
          <w:sz w:val="24"/>
          <w:szCs w:val="24"/>
        </w:rPr>
        <w:t xml:space="preserve">El segundo frente examina cómo se distribuyen los protocolos evaluados por el CEP en los cuatro niveles de la MARIAH. Hay dos usos principales para esa información. El primero es descriptivo. El CEP pasa a conocer el perfil de su casuística en investigación con inteligencia artificial: si la mayoría de los protocolos se concentra en el Nivel II, si hay protocolos en el Nivel IV, si la distribución cambió a lo largo del tiempo. Esa información es insumo de planificación institucional y de capacitación del colegiado. El segundo uso es diagnóstico. Cuando la distribución se concentra cerca de un punto de corte de la </w:t>
        <w:lastRenderedPageBreak/>
        <w:t>Versión B, el colegiado tiene evidencia local de que pequeñas variaciones en la puntuación pueden cambiar de nivel muchos protocolos, lo que justifica examinar con más atención los casos limítrofes.</w:t>
      </w:r>
    </w:p>
    <w:p w14:paraId="6121D562" w14:textId="2361F1D9" w:rsidR="00EC0D1F" w:rsidRPr="0059027D" w:rsidRDefault="00000000" w:rsidP="0059027D">
      <w:pPr>
        <w:pStyle w:val="Heading2"/>
        <w:spacing w:line="360" w:lineRule="auto"/>
        <w:ind w:firstLine="720"/>
        <w:contextualSpacing/>
        <w:jc w:val="both"/>
        <w:rPr>
          <w:rFonts w:ascii="Times New Roman" w:hAnsi="Times New Roman" w:cs="Times New Roman"/>
          <w:b w:val="0"/>
          <w:bCs w:val="0"/>
          <w:sz w:val="24"/>
          <w:szCs w:val="24"/>
        </w:rPr>
      </w:pPr>
      <w:r>
        <w:rPr>
          <w:rFonts w:ascii="Times New Roman" w:hAnsi="Times New Roman" w:cs="Times New Roman"/>
          <w:b w:val="0"/>
          <w:bCs w:val="0"/>
          <w:sz w:val="24"/>
          <w:szCs w:val="24"/>
        </w:rPr>
        <w:t>La recomendación operativa es registrar la puntuación total y la puntuación por bloque de todos los protocolos a los que el CEP aplique la Versión B, sin criterio de inclusión específico. La planilla-modelo produce automáticamente el histograma e identifica concentraciones próximas a los puntos de corte.</w:t>
      </w:r>
    </w:p>
    <w:p w14:paraId="44DD4D6C" w14:textId="77777777" w:rsidR="0059027D" w:rsidRDefault="0059027D" w:rsidP="0059027D">
      <w:pPr>
        <w:pStyle w:val="Heading2"/>
        <w:spacing w:line="360" w:lineRule="auto"/>
        <w:contextualSpacing/>
        <w:rPr>
          <w:rFonts w:ascii="Times New Roman" w:hAnsi="Times New Roman" w:cs="Times New Roman"/>
        </w:rPr>
      </w:pPr>
    </w:p>
    <w:p w14:paraId="6D0C0FCC" w14:textId="77777777" w:rsidR="0059027D" w:rsidRDefault="00000000" w:rsidP="0059027D">
      <w:pPr>
        <w:pStyle w:val="Heading2"/>
        <w:spacing w:line="360" w:lineRule="auto"/>
        <w:contextualSpacing/>
        <w:rPr>
          <w:rFonts w:ascii="Times New Roman" w:hAnsi="Times New Roman" w:cs="Times New Roman"/>
        </w:rPr>
      </w:pPr>
      <w:r>
        <w:rPr>
          <w:rFonts w:ascii="Times New Roman" w:hAnsi="Times New Roman" w:cs="Times New Roman"/>
        </w:rPr>
        <w:t>F.2.3  Convergencia entre las Versiones A y B en el modo triaje</w:t>
      </w:r>
    </w:p>
    <w:p w14:paraId="1077BA41" w14:textId="77777777" w:rsidR="00CF61F7" w:rsidRPr="00CF61F7" w:rsidRDefault="00000000" w:rsidP="00CF61F7">
      <w:pPr>
        <w:pStyle w:val="Heading2"/>
        <w:spacing w:line="360" w:lineRule="auto"/>
        <w:ind w:firstLine="720"/>
        <w:contextualSpacing/>
        <w:jc w:val="both"/>
        <w:rPr>
          <w:rFonts w:ascii="Times New Roman" w:hAnsi="Times New Roman" w:cs="Times New Roman"/>
          <w:b w:val="0"/>
          <w:bCs w:val="0"/>
          <w:sz w:val="24"/>
          <w:szCs w:val="24"/>
        </w:rPr>
      </w:pPr>
      <w:r>
        <w:rPr>
          <w:rFonts w:ascii="Times New Roman" w:hAnsi="Times New Roman" w:cs="Times New Roman"/>
          <w:b w:val="0"/>
          <w:bCs w:val="0"/>
          <w:sz w:val="24"/>
          <w:szCs w:val="24"/>
        </w:rPr>
        <w:t xml:space="preserve">El tercer frente examina si la Versión A y la Versión B, aplicadas al mismo protocolo en el modo triaje previsto por la Guía, convergen en la misma clasificación de riesgo. Cuando el CEP usa rutinariamente el modo triaje (Versión A como filtro inicial y Versión B en casos de Nivel III o Nivel IV), basta con registrar las dos clasificaciones en paralelo. Las discordancias sistemáticas entre las dos versiones, cuando ocurren, son información valiosa: o indican que el CEP está leyendo de modo inconsistente las dos versiones, o indican que las dos versiones captan dimensiones diferentes del riesgo en el protocolo. En ambos casos, el colegiado tiene material concreto para discutir y, si corresponde, informar al Grupo de Trabajo.</w:t>
      </w:r>
    </w:p>
    <w:p w14:paraId="609BD020" w14:textId="77777777" w:rsidR="00CF61F7" w:rsidRPr="00CF61F7" w:rsidRDefault="00CF61F7" w:rsidP="00CF61F7">
      <w:pPr>
        <w:pStyle w:val="Heading2"/>
        <w:spacing w:line="360" w:lineRule="auto"/>
        <w:contextualSpacing/>
        <w:jc w:val="both"/>
        <w:rPr>
          <w:rFonts w:ascii="Times New Roman" w:hAnsi="Times New Roman" w:cs="Times New Roman"/>
          <w:b w:val="0"/>
          <w:bCs w:val="0"/>
          <w:sz w:val="24"/>
          <w:szCs w:val="24"/>
        </w:rPr>
      </w:pPr>
    </w:p>
    <w:p w14:paraId="05350FC3" w14:textId="77777777" w:rsidR="00CF61F7" w:rsidRPr="00CF61F7" w:rsidRDefault="00000000" w:rsidP="00CF61F7">
      <w:pPr>
        <w:pStyle w:val="Heading2"/>
        <w:spacing w:line="360" w:lineRule="auto"/>
        <w:contextualSpacing/>
        <w:jc w:val="both"/>
        <w:rPr>
          <w:rFonts w:ascii="Times New Roman" w:hAnsi="Times New Roman" w:cs="Times New Roman"/>
          <w:sz w:val="24"/>
          <w:szCs w:val="24"/>
        </w:rPr>
      </w:pPr>
      <w:r>
        <w:rPr>
          <w:rFonts w:ascii="Times New Roman" w:hAnsi="Times New Roman" w:cs="Times New Roman"/>
          <w:sz w:val="24"/>
          <w:szCs w:val="24"/>
        </w:rPr>
        <w:t>F.3  Cómo conducir cada frente</w:t>
      </w:r>
    </w:p>
    <w:p w14:paraId="2AA9A82C" w14:textId="77777777" w:rsidR="00CF61F7" w:rsidRPr="00CF61F7" w:rsidRDefault="00000000" w:rsidP="00CF61F7">
      <w:pPr>
        <w:pStyle w:val="Heading2"/>
        <w:spacing w:line="360" w:lineRule="auto"/>
        <w:ind w:firstLine="720"/>
        <w:contextualSpacing/>
        <w:jc w:val="both"/>
        <w:rPr>
          <w:rFonts w:ascii="Times New Roman" w:hAnsi="Times New Roman" w:cs="Times New Roman"/>
          <w:b w:val="0"/>
          <w:bCs w:val="0"/>
          <w:sz w:val="24"/>
          <w:szCs w:val="24"/>
        </w:rPr>
      </w:pPr>
      <w:r>
        <w:rPr>
          <w:rFonts w:ascii="Times New Roman" w:hAnsi="Times New Roman" w:cs="Times New Roman"/>
          <w:b w:val="0"/>
          <w:bCs w:val="0"/>
          <w:sz w:val="24"/>
          <w:szCs w:val="24"/>
        </w:rPr>
        <w:t>El guion que sigue cubre los tres frentes en un único flujo. Cada CEP adapta el flujo a su dinámica.</w:t>
      </w:r>
    </w:p>
    <w:p w14:paraId="37F5B9D0" w14:textId="11537DC4" w:rsidR="00CF61F7" w:rsidRPr="00CF61F7" w:rsidRDefault="00000000" w:rsidP="00CF61F7">
      <w:pPr>
        <w:pStyle w:val="Heading2"/>
        <w:spacing w:line="360" w:lineRule="auto"/>
        <w:ind w:firstLine="720"/>
        <w:contextualSpacing/>
        <w:jc w:val="both"/>
        <w:rPr>
          <w:rFonts w:ascii="Times New Roman" w:hAnsi="Times New Roman" w:cs="Times New Roman"/>
          <w:b w:val="0"/>
          <w:bCs w:val="0"/>
          <w:sz w:val="24"/>
          <w:szCs w:val="24"/>
        </w:rPr>
      </w:pPr>
      <w:r>
        <w:rPr>
          <w:rFonts w:ascii="Times New Roman" w:hAnsi="Times New Roman" w:cs="Times New Roman"/>
          <w:b w:val="0"/>
          <w:bCs w:val="0"/>
          <w:sz w:val="24"/>
          <w:szCs w:val="24"/>
        </w:rPr>
        <w:t xml:space="preserve">El primer paso es definir el período de recolección. Puede ser un trimestre, un semestre o abierto. Lo importante es que el CEP sepa que, durante ese período, los protocolos con inteligencia artificial recibidos también serán objeto del ejercicio de validación, en paralelo al dictamen ordinario. La recolección no altera el flujo del dictamen institucional del SINEP.</w:t>
      </w:r>
    </w:p>
    <w:p w14:paraId="083790F9" w14:textId="77777777" w:rsidR="00CF61F7" w:rsidRPr="00CF61F7" w:rsidRDefault="00000000" w:rsidP="00CF61F7">
      <w:pPr>
        <w:pStyle w:val="Heading2"/>
        <w:spacing w:line="360" w:lineRule="auto"/>
        <w:contextualSpacing/>
        <w:jc w:val="both"/>
        <w:rPr>
          <w:rFonts w:ascii="Times New Roman" w:hAnsi="Times New Roman" w:cs="Times New Roman"/>
          <w:b w:val="0"/>
          <w:bCs w:val="0"/>
          <w:sz w:val="24"/>
          <w:szCs w:val="24"/>
        </w:rPr>
      </w:pPr>
      <w:r>
        <w:rPr>
          <w:rFonts w:ascii="Times New Roman" w:hAnsi="Times New Roman" w:cs="Times New Roman"/>
          <w:b w:val="0"/>
          <w:bCs w:val="0"/>
          <w:sz w:val="24"/>
          <w:szCs w:val="24"/>
        </w:rPr>
        <w:t>El segundo paso es constituir la dupla o el trío de evaluadores. La recomendación es que al menos dos miembros del colegiado apliquen la Versión A de forma independiente, sin consulta previa entre sí, y que un tercer miembro aplique la Versión B por separado. Los evaluadores pueden turnarse en cada protocolo; lo que importa es la independencia de la aplicación dentro de cada protocolo. No es necesario que el evaluador de la Versión B sea el relator del dictamen institucional.</w:t>
      </w:r>
    </w:p>
    <w:p w14:paraId="266ABF4D" w14:textId="77777777" w:rsidR="00CF61F7" w:rsidRPr="00CF61F7" w:rsidRDefault="00000000" w:rsidP="00640741">
      <w:pPr>
        <w:pStyle w:val="Heading2"/>
        <w:spacing w:line="360" w:lineRule="auto"/>
        <w:ind w:firstLine="720"/>
        <w:contextualSpacing/>
        <w:jc w:val="both"/>
        <w:rPr>
          <w:rFonts w:ascii="Times New Roman" w:hAnsi="Times New Roman" w:cs="Times New Roman"/>
          <w:b w:val="0"/>
          <w:bCs w:val="0"/>
          <w:sz w:val="24"/>
          <w:szCs w:val="24"/>
        </w:rPr>
      </w:pPr>
      <w:r>
        <w:rPr>
          <w:rFonts w:ascii="Times New Roman" w:hAnsi="Times New Roman" w:cs="Times New Roman"/>
          <w:b w:val="0"/>
          <w:bCs w:val="0"/>
          <w:sz w:val="24"/>
          <w:szCs w:val="24"/>
        </w:rPr>
        <w:t xml:space="preserve">El tercer paso es registrar las evaluaciones en la planilla-modelo. La planilla tiene una pestaña específica para cada frente. Cada protocolo recibe un identificador interno del CEP que prescinde de cualquier </w:t>
        <w:lastRenderedPageBreak/>
        <w:t>información que permita identificar al investigador, a la institución proponente o al patrocinador. La planilla no solicita esos datos. El registro mínimo es el identificador, la fecha y las respuestas de los evaluadores a las preguntas de la matriz. Las fórmulas calculan la clasificación consolidada, la puntuación total y los indicadores agregados de los tres frentes.</w:t>
      </w:r>
    </w:p>
    <w:p w14:paraId="34400538" w14:textId="79C8C642" w:rsidR="00EC0D1F" w:rsidRPr="00CF61F7" w:rsidRDefault="00000000" w:rsidP="00CF61F7">
      <w:pPr>
        <w:pStyle w:val="Heading2"/>
        <w:spacing w:line="360" w:lineRule="auto"/>
        <w:ind w:firstLine="720"/>
        <w:contextualSpacing/>
        <w:jc w:val="both"/>
        <w:rPr>
          <w:rFonts w:ascii="Times New Roman" w:hAnsi="Times New Roman" w:cs="Times New Roman"/>
          <w:b w:val="0"/>
          <w:bCs w:val="0"/>
          <w:sz w:val="24"/>
          <w:szCs w:val="24"/>
        </w:rPr>
      </w:pPr>
      <w:r>
        <w:rPr>
          <w:rFonts w:ascii="Times New Roman" w:hAnsi="Times New Roman" w:cs="Times New Roman"/>
          <w:b w:val="0"/>
          <w:bCs w:val="0"/>
          <w:sz w:val="24"/>
          <w:szCs w:val="24"/>
        </w:rPr>
        <w:t>El cuarto paso es la deliberación colegiada sobre los hallazgos. Se recomienda una reunión dedicada, al final del período de recolección o periódicamente durante él, para que el colegiado discuta lo que los indicadores están mostrando. La planilla genera un panel-resumen que apoya esa discusión. La deliberación es el punto central del ejercicio; los números son insumo, no conclusión.</w:t>
      </w:r>
    </w:p>
    <w:p w14:paraId="079A321F" w14:textId="77777777" w:rsidR="00640741" w:rsidRPr="00640741" w:rsidRDefault="00000000" w:rsidP="00640741">
      <w:pPr>
        <w:pStyle w:val="Heading1"/>
        <w:spacing w:line="360" w:lineRule="auto"/>
        <w:contextualSpacing/>
        <w:jc w:val="both"/>
        <w:rPr>
          <w:rFonts w:ascii="Times New Roman" w:hAnsi="Times New Roman" w:cs="Times New Roman"/>
          <w:sz w:val="24"/>
          <w:szCs w:val="24"/>
        </w:rPr>
      </w:pPr>
      <w:r>
        <w:rPr>
          <w:rFonts w:ascii="Times New Roman" w:hAnsi="Times New Roman" w:cs="Times New Roman"/>
          <w:sz w:val="24"/>
          <w:szCs w:val="24"/>
        </w:rPr>
        <w:t>F.4  Cómo interpretar los hallazgos</w:t>
      </w:r>
    </w:p>
    <w:p w14:paraId="7DEBC8D6" w14:textId="77777777" w:rsidR="00640741" w:rsidRPr="00640741" w:rsidRDefault="00000000" w:rsidP="00640741">
      <w:pPr>
        <w:pStyle w:val="Heading1"/>
        <w:spacing w:line="360" w:lineRule="auto"/>
        <w:ind w:firstLine="720"/>
        <w:contextualSpacing/>
        <w:jc w:val="both"/>
        <w:rPr>
          <w:rFonts w:ascii="Times New Roman" w:hAnsi="Times New Roman" w:cs="Times New Roman"/>
          <w:b w:val="0"/>
          <w:bCs w:val="0"/>
          <w:sz w:val="24"/>
          <w:szCs w:val="24"/>
        </w:rPr>
      </w:pPr>
      <w:r>
        <w:rPr>
          <w:rFonts w:ascii="Times New Roman" w:hAnsi="Times New Roman" w:cs="Times New Roman"/>
          <w:b w:val="0"/>
          <w:bCs w:val="0"/>
          <w:sz w:val="24"/>
          <w:szCs w:val="24"/>
        </w:rPr>
        <w:t>La interpretación de los hallazgos no exige conocimiento estadístico avanzado. Para los tres frentes propuestos, bastan tres lecturas básicas.</w:t>
      </w:r>
    </w:p>
    <w:p w14:paraId="66B8EAB3" w14:textId="61AE7C84" w:rsidR="00EC0D1F" w:rsidRPr="00640741" w:rsidRDefault="00000000" w:rsidP="00640741">
      <w:pPr>
        <w:pStyle w:val="Heading1"/>
        <w:spacing w:line="360" w:lineRule="auto"/>
        <w:ind w:firstLine="720"/>
        <w:contextualSpacing/>
        <w:jc w:val="both"/>
        <w:rPr>
          <w:rFonts w:ascii="Times New Roman" w:hAnsi="Times New Roman" w:cs="Times New Roman"/>
          <w:b w:val="0"/>
          <w:bCs w:val="0"/>
          <w:sz w:val="24"/>
          <w:szCs w:val="24"/>
        </w:rPr>
      </w:pPr>
      <w:r>
        <w:rPr>
          <w:rFonts w:ascii="Times New Roman" w:hAnsi="Times New Roman" w:cs="Times New Roman"/>
          <w:b w:val="0"/>
          <w:bCs w:val="0"/>
          <w:sz w:val="24"/>
          <w:szCs w:val="24"/>
        </w:rPr>
        <w:t>Para el frente de concordancia entre evaluadores, el indicador principal es el estadístico kappa de Cohen, calculado automáticamente por la planilla. La Tabla F.1 ofrece la lectura práctica de los valores observados. El colegiado lee el valor de kappa por eje de la Versión A y por clasificación consolidada, identifica los ejes con kappa bajo y discute, en plenaria, los casos de discordancia en esos ejes.</w:t>
      </w:r>
    </w:p>
    <w:p w14:paraId="5F10B755" w14:textId="77777777" w:rsidR="00EC0D1F" w:rsidRPr="0059027D" w:rsidRDefault="00000000" w:rsidP="0059027D">
      <w:pPr>
        <w:spacing w:before="120" w:after="80" w:line="360" w:lineRule="auto"/>
        <w:contextualSpacing/>
        <w:rPr>
          <w:rFonts w:ascii="Times New Roman" w:hAnsi="Times New Roman" w:cs="Times New Roman"/>
        </w:rPr>
      </w:pPr>
      <w:r>
        <w:rPr>
          <w:rFonts w:ascii="Times New Roman" w:hAnsi="Times New Roman" w:cs="Times New Roman"/>
          <w:b/>
          <w:bCs/>
        </w:rPr>
        <w:t>Tabla F.1  Lectura práctica de los valores de kappa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7020"/>
      </w:tblGrid>
      <w:tr w:rsidR="00EC0D1F" w:rsidRPr="0059027D" w14:paraId="37C77CD9" w14:textId="77777777">
        <w:tblPrEx>
          <w:tblCellMar>
            <w:top w:w="0" w:type="dxa"/>
            <w:bottom w:w="0" w:type="dxa"/>
          </w:tblCellMar>
        </w:tblPrEx>
        <w:trPr>
          <w:tblHeader/>
        </w:trPr>
        <w:tc>
          <w:tcPr>
            <w:tcW w:w="2340"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tcPr>
          <w:p w14:paraId="1F561DB5" w14:textId="77777777" w:rsidR="00EC0D1F" w:rsidRPr="0059027D" w:rsidRDefault="00000000" w:rsidP="0059027D">
            <w:pPr>
              <w:spacing w:line="360" w:lineRule="auto"/>
              <w:contextualSpacing/>
              <w:rPr>
                <w:rFonts w:ascii="Times New Roman" w:hAnsi="Times New Roman" w:cs="Times New Roman"/>
              </w:rPr>
            </w:pPr>
            <w:r>
              <w:rPr>
                <w:rFonts w:ascii="Times New Roman" w:hAnsi="Times New Roman" w:cs="Times New Roman"/>
                <w:b/>
                <w:bCs/>
                <w:sz w:val="20"/>
                <w:szCs w:val="20"/>
              </w:rPr>
              <w:t>Valor de kappa</w:t>
            </w:r>
          </w:p>
        </w:tc>
        <w:tc>
          <w:tcPr>
            <w:tcW w:w="7020" w:type="dxa"/>
            <w:tcBorders>
              <w:top w:val="single" w:sz="4" w:space="0" w:color="888888"/>
              <w:left w:val="single" w:sz="4" w:space="0" w:color="888888"/>
              <w:bottom w:val="single" w:sz="4" w:space="0" w:color="888888"/>
              <w:right w:val="single" w:sz="4" w:space="0" w:color="888888"/>
            </w:tcBorders>
            <w:shd w:val="clear" w:color="auto" w:fill="D5E8F0"/>
            <w:tcMar>
              <w:top w:w="80" w:type="dxa"/>
              <w:left w:w="120" w:type="dxa"/>
              <w:bottom w:w="80" w:type="dxa"/>
              <w:right w:w="120" w:type="dxa"/>
            </w:tcMar>
          </w:tcPr>
          <w:p w14:paraId="45BE7CD3" w14:textId="77777777" w:rsidR="00EC0D1F" w:rsidRPr="0059027D" w:rsidRDefault="00000000" w:rsidP="0059027D">
            <w:pPr>
              <w:spacing w:line="360" w:lineRule="auto"/>
              <w:contextualSpacing/>
              <w:rPr>
                <w:rFonts w:ascii="Times New Roman" w:hAnsi="Times New Roman" w:cs="Times New Roman"/>
              </w:rPr>
            </w:pPr>
            <w:r>
              <w:rPr>
                <w:rFonts w:ascii="Times New Roman" w:hAnsi="Times New Roman" w:cs="Times New Roman"/>
                <w:b/>
                <w:bCs/>
                <w:sz w:val="20"/>
                <w:szCs w:val="20"/>
              </w:rPr>
              <w:t>Lectura práctica</w:t>
            </w:r>
          </w:p>
        </w:tc>
      </w:tr>
      <w:tr w:rsidR="00EC0D1F" w:rsidRPr="0059027D" w14:paraId="18074D75" w14:textId="77777777">
        <w:tblPrEx>
          <w:tblCellMar>
            <w:top w:w="0" w:type="dxa"/>
            <w:bottom w:w="0" w:type="dxa"/>
          </w:tblCellMar>
        </w:tblPrEx>
        <w:tc>
          <w:tcPr>
            <w:tcW w:w="234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7B0D74A2" w14:textId="77777777" w:rsidR="00EC0D1F" w:rsidRPr="0059027D" w:rsidRDefault="00000000" w:rsidP="0059027D">
            <w:pPr>
              <w:spacing w:line="360" w:lineRule="auto"/>
              <w:contextualSpacing/>
              <w:rPr>
                <w:rFonts w:ascii="Times New Roman" w:hAnsi="Times New Roman" w:cs="Times New Roman"/>
              </w:rPr>
            </w:pPr>
            <w:r>
              <w:rPr>
                <w:rFonts w:ascii="Times New Roman" w:hAnsi="Times New Roman" w:cs="Times New Roman"/>
                <w:sz w:val="20"/>
                <w:szCs w:val="20"/>
              </w:rPr>
              <w:t>Por debajo de 0,40</w:t>
            </w:r>
          </w:p>
        </w:tc>
        <w:tc>
          <w:tcPr>
            <w:tcW w:w="702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4E4068F5" w14:textId="77777777" w:rsidR="00EC0D1F" w:rsidRPr="0059027D" w:rsidRDefault="00000000" w:rsidP="0059027D">
            <w:pPr>
              <w:spacing w:line="360" w:lineRule="auto"/>
              <w:contextualSpacing/>
              <w:rPr>
                <w:rFonts w:ascii="Times New Roman" w:hAnsi="Times New Roman" w:cs="Times New Roman"/>
              </w:rPr>
            </w:pPr>
            <w:r>
              <w:rPr>
                <w:rFonts w:ascii="Times New Roman" w:hAnsi="Times New Roman" w:cs="Times New Roman"/>
                <w:sz w:val="20"/>
                <w:szCs w:val="20"/>
              </w:rPr>
              <w:t>Concordancia insuficiente. El eje o bloque merece revisión por el colegiado: las preguntas se están leyendo de modo divergente, y eso es información valiosa para discutir en plenaria.</w:t>
            </w:r>
          </w:p>
        </w:tc>
      </w:tr>
      <w:tr w:rsidR="00EC0D1F" w:rsidRPr="0059027D" w14:paraId="70731912" w14:textId="77777777">
        <w:tblPrEx>
          <w:tblCellMar>
            <w:top w:w="0" w:type="dxa"/>
            <w:bottom w:w="0" w:type="dxa"/>
          </w:tblCellMar>
        </w:tblPrEx>
        <w:tc>
          <w:tcPr>
            <w:tcW w:w="234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6B333BCC" w14:textId="77777777" w:rsidR="00EC0D1F" w:rsidRPr="0059027D" w:rsidRDefault="00000000" w:rsidP="0059027D">
            <w:pPr>
              <w:spacing w:line="360" w:lineRule="auto"/>
              <w:contextualSpacing/>
              <w:rPr>
                <w:rFonts w:ascii="Times New Roman" w:hAnsi="Times New Roman" w:cs="Times New Roman"/>
              </w:rPr>
            </w:pPr>
            <w:r>
              <w:rPr>
                <w:rFonts w:ascii="Times New Roman" w:hAnsi="Times New Roman" w:cs="Times New Roman"/>
                <w:sz w:val="20"/>
                <w:szCs w:val="20"/>
              </w:rPr>
              <w:t>Entre 0,40 y 0,60</w:t>
            </w:r>
          </w:p>
        </w:tc>
        <w:tc>
          <w:tcPr>
            <w:tcW w:w="702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789E717" w14:textId="1A64E0F0" w:rsidR="00EC0D1F" w:rsidRPr="0059027D" w:rsidRDefault="00000000" w:rsidP="0059027D">
            <w:pPr>
              <w:spacing w:line="360" w:lineRule="auto"/>
              <w:contextualSpacing/>
              <w:rPr>
                <w:rFonts w:ascii="Times New Roman" w:hAnsi="Times New Roman" w:cs="Times New Roman"/>
              </w:rPr>
            </w:pPr>
            <w:r>
              <w:rPr>
                <w:rFonts w:ascii="Times New Roman" w:hAnsi="Times New Roman" w:cs="Times New Roman"/>
                <w:sz w:val="20"/>
                <w:szCs w:val="20"/>
              </w:rPr>
              <w:t xml:space="preserve">Concordancia moderada. Identifique los casos de discordancia y úselos como orden del día de la reunión, porque son exactamente los casos limítrofes que la Guía trata al abordar la formación de los comités.</w:t>
            </w:r>
          </w:p>
        </w:tc>
      </w:tr>
      <w:tr w:rsidR="00EC0D1F" w:rsidRPr="0059027D" w14:paraId="33EC6E11" w14:textId="77777777">
        <w:tblPrEx>
          <w:tblCellMar>
            <w:top w:w="0" w:type="dxa"/>
            <w:bottom w:w="0" w:type="dxa"/>
          </w:tblCellMar>
        </w:tblPrEx>
        <w:tc>
          <w:tcPr>
            <w:tcW w:w="234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0A95BED4" w14:textId="77777777" w:rsidR="00EC0D1F" w:rsidRPr="0059027D" w:rsidRDefault="00000000" w:rsidP="0059027D">
            <w:pPr>
              <w:spacing w:line="360" w:lineRule="auto"/>
              <w:contextualSpacing/>
              <w:rPr>
                <w:rFonts w:ascii="Times New Roman" w:hAnsi="Times New Roman" w:cs="Times New Roman"/>
              </w:rPr>
            </w:pPr>
            <w:r>
              <w:rPr>
                <w:rFonts w:ascii="Times New Roman" w:hAnsi="Times New Roman" w:cs="Times New Roman"/>
                <w:sz w:val="20"/>
                <w:szCs w:val="20"/>
              </w:rPr>
              <w:t>Entre 0,60 y 0,80</w:t>
            </w:r>
          </w:p>
        </w:tc>
        <w:tc>
          <w:tcPr>
            <w:tcW w:w="702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2DC68516" w14:textId="77777777" w:rsidR="00EC0D1F" w:rsidRPr="0059027D" w:rsidRDefault="00000000" w:rsidP="0059027D">
            <w:pPr>
              <w:spacing w:line="360" w:lineRule="auto"/>
              <w:contextualSpacing/>
              <w:rPr>
                <w:rFonts w:ascii="Times New Roman" w:hAnsi="Times New Roman" w:cs="Times New Roman"/>
              </w:rPr>
            </w:pPr>
            <w:r>
              <w:rPr>
                <w:rFonts w:ascii="Times New Roman" w:hAnsi="Times New Roman" w:cs="Times New Roman"/>
                <w:sz w:val="20"/>
                <w:szCs w:val="20"/>
              </w:rPr>
              <w:t>Concordancia sustancial. La aplicación es consistente. Pequeñas discordancias residuales son esperables y saludables.</w:t>
            </w:r>
          </w:p>
        </w:tc>
      </w:tr>
      <w:tr w:rsidR="00EC0D1F" w:rsidRPr="0059027D" w14:paraId="02504E0A" w14:textId="77777777">
        <w:tblPrEx>
          <w:tblCellMar>
            <w:top w:w="0" w:type="dxa"/>
            <w:bottom w:w="0" w:type="dxa"/>
          </w:tblCellMar>
        </w:tblPrEx>
        <w:tc>
          <w:tcPr>
            <w:tcW w:w="234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0474A2F" w14:textId="77777777" w:rsidR="00EC0D1F" w:rsidRPr="0059027D" w:rsidRDefault="00000000" w:rsidP="0059027D">
            <w:pPr>
              <w:spacing w:line="360" w:lineRule="auto"/>
              <w:contextualSpacing/>
              <w:rPr>
                <w:rFonts w:ascii="Times New Roman" w:hAnsi="Times New Roman" w:cs="Times New Roman"/>
              </w:rPr>
            </w:pPr>
            <w:r>
              <w:rPr>
                <w:rFonts w:ascii="Times New Roman" w:hAnsi="Times New Roman" w:cs="Times New Roman"/>
                <w:sz w:val="20"/>
                <w:szCs w:val="20"/>
              </w:rPr>
              <w:t>0,80 o más</w:t>
            </w:r>
          </w:p>
        </w:tc>
        <w:tc>
          <w:tcPr>
            <w:tcW w:w="7020" w:type="dxa"/>
            <w:tcBorders>
              <w:top w:val="single" w:sz="4" w:space="0" w:color="888888"/>
              <w:left w:val="single" w:sz="4" w:space="0" w:color="888888"/>
              <w:bottom w:val="single" w:sz="4" w:space="0" w:color="888888"/>
              <w:right w:val="single" w:sz="4" w:space="0" w:color="888888"/>
            </w:tcBorders>
            <w:tcMar>
              <w:top w:w="80" w:type="dxa"/>
              <w:left w:w="120" w:type="dxa"/>
              <w:bottom w:w="80" w:type="dxa"/>
              <w:right w:w="120" w:type="dxa"/>
            </w:tcMar>
          </w:tcPr>
          <w:p w14:paraId="19F5B5E8" w14:textId="77777777" w:rsidR="00EC0D1F" w:rsidRPr="0059027D" w:rsidRDefault="00000000" w:rsidP="0059027D">
            <w:pPr>
              <w:spacing w:line="360" w:lineRule="auto"/>
              <w:contextualSpacing/>
              <w:rPr>
                <w:rFonts w:ascii="Times New Roman" w:hAnsi="Times New Roman" w:cs="Times New Roman"/>
              </w:rPr>
            </w:pPr>
            <w:r>
              <w:rPr>
                <w:rFonts w:ascii="Times New Roman" w:hAnsi="Times New Roman" w:cs="Times New Roman"/>
                <w:sz w:val="20"/>
                <w:szCs w:val="20"/>
              </w:rPr>
              <w:t>Concordancia casi perfecta. La aplicación está estabilizada. Cuidado, sin embargo: kappas muy altos en todos los ejes pueden indicar que los evaluadores están deliberando entre sí antes de registrar las respuestas, lo que vacía el ejercicio.</w:t>
            </w:r>
          </w:p>
        </w:tc>
      </w:tr>
    </w:tbl>
    <w:p w14:paraId="5DCE976B" w14:textId="77777777" w:rsidR="00EC0D1F" w:rsidRPr="0059027D" w:rsidRDefault="00000000" w:rsidP="0059027D">
      <w:pPr>
        <w:spacing w:after="200" w:line="360" w:lineRule="auto"/>
        <w:contextualSpacing/>
        <w:rPr>
          <w:rFonts w:ascii="Times New Roman" w:hAnsi="Times New Roman" w:cs="Times New Roman"/>
        </w:rPr>
      </w:pPr>
      <w:r>
        <w:rPr>
          <w:rFonts w:ascii="Times New Roman" w:hAnsi="Times New Roman" w:cs="Times New Roman"/>
          <w:i/>
          <w:iCs/>
          <w:sz w:val="18"/>
          <w:szCs w:val="18"/>
        </w:rPr>
        <w:t>Fuente: adaptado de Landis y Koch (1977).</w:t>
      </w:r>
    </w:p>
    <w:p w14:paraId="5993D025" w14:textId="10F55CC4" w:rsidR="00EC0D1F" w:rsidRPr="0059027D" w:rsidRDefault="00000000" w:rsidP="00640741">
      <w:pPr>
        <w:spacing w:after="160" w:line="360" w:lineRule="auto"/>
        <w:ind w:firstLine="720"/>
        <w:contextualSpacing/>
        <w:jc w:val="both"/>
        <w:rPr>
          <w:rFonts w:ascii="Times New Roman" w:hAnsi="Times New Roman" w:cs="Times New Roman"/>
        </w:rPr>
      </w:pPr>
      <w:r>
        <w:rPr>
          <w:rFonts w:ascii="Times New Roman" w:hAnsi="Times New Roman" w:cs="Times New Roman"/>
        </w:rPr>
        <w:lastRenderedPageBreak/>
        <w:t xml:space="preserve">Para el frente de distribución empírica, la lectura es visual. El colegiado analiza el histograma de la planilla para verificar la concentración de protocolos en algún nivel, la proximidad a los puntos de corte y la presencia de bimodalidad (dos picos separados por un valle). La concentración cerca de los puntos de corte es una alerta de que pequeñas variaciones en la aplicación de la matriz producen cambios de nivel. Una bimodalidad marcada es evidencia local de que el punto de corte natural en la casuística del CEP puede diferir del punto teórico vigente.</w:t>
      </w:r>
    </w:p>
    <w:p w14:paraId="5761A165" w14:textId="77777777" w:rsidR="00640741" w:rsidRDefault="00640741" w:rsidP="00640741">
      <w:pPr>
        <w:spacing w:after="160" w:line="360" w:lineRule="auto"/>
        <w:ind w:firstLine="720"/>
        <w:contextualSpacing/>
        <w:jc w:val="both"/>
        <w:rPr>
          <w:rFonts w:ascii="Times New Roman" w:hAnsi="Times New Roman" w:cs="Times New Roman"/>
        </w:rPr>
      </w:pPr>
      <w:r>
        <w:rPr>
          <w:rFonts w:ascii="Times New Roman" w:hAnsi="Times New Roman" w:cs="Times New Roman"/>
        </w:rPr>
        <w:t>Para el frente de convergencia entre versiones, la lectura es tabular. La planilla genera una tabla de contingencia de cuatro por cuatro que cruza las clasificaciones de la Versión A y de la Versión B en el modo triaje.  Hay alta convergencia cuando la diagonal principal concentra más del ochenta por ciento de los protocolos.  Los patrones de discordancia, que exigen un examen cualitativo de los protocolos correspondientes, surgen cuando hay concentración en pares específicos fuera de la diagonal, como Nivel II en la Versión A y Nivel III en la Versión B.</w:t>
      </w:r>
    </w:p>
    <w:p w14:paraId="51CA182C" w14:textId="308AC984" w:rsidR="00EC0D1F" w:rsidRPr="00640741" w:rsidRDefault="00000000" w:rsidP="00640741">
      <w:pPr>
        <w:spacing w:after="160" w:line="360" w:lineRule="auto"/>
        <w:ind w:firstLine="720"/>
        <w:contextualSpacing/>
        <w:jc w:val="both"/>
        <w:rPr>
          <w:rFonts w:ascii="Times New Roman" w:hAnsi="Times New Roman" w:cs="Times New Roman"/>
          <w:sz w:val="24"/>
          <w:szCs w:val="24"/>
        </w:rPr>
      </w:pPr>
      <w:r>
        <w:rPr>
          <w:rFonts w:ascii="Times New Roman" w:hAnsi="Times New Roman" w:cs="Times New Roman"/>
          <w:sz w:val="24"/>
          <w:szCs w:val="24"/>
        </w:rPr>
        <w:t>La planilla no impone interpretación al colegiado. Los indicadores se presentan con una lectura sugerida, pero la deliberación sobre qué hacer con ellos es decisión institucional del CEP.</w:t>
      </w:r>
    </w:p>
    <w:p w14:paraId="4B21B3A3" w14:textId="77777777" w:rsidR="00640741" w:rsidRDefault="00000000" w:rsidP="00640741">
      <w:pPr>
        <w:pStyle w:val="Heading1"/>
        <w:spacing w:line="360" w:lineRule="auto"/>
        <w:contextualSpacing/>
        <w:rPr>
          <w:rFonts w:ascii="Times New Roman" w:hAnsi="Times New Roman" w:cs="Times New Roman"/>
          <w:sz w:val="24"/>
          <w:szCs w:val="24"/>
        </w:rPr>
      </w:pPr>
      <w:r>
        <w:rPr>
          <w:rFonts w:ascii="Times New Roman" w:hAnsi="Times New Roman" w:cs="Times New Roman"/>
          <w:sz w:val="24"/>
          <w:szCs w:val="24"/>
        </w:rPr>
        <w:t>F.5  Cuándo y cómo compartir resultados con el Grupo de Trabajo</w:t>
      </w:r>
    </w:p>
    <w:p w14:paraId="2EACA152" w14:textId="6AD13706" w:rsidR="00640741" w:rsidRPr="00640741" w:rsidRDefault="00000000" w:rsidP="003C2BBA">
      <w:pPr>
        <w:pStyle w:val="Heading1"/>
        <w:spacing w:line="360" w:lineRule="auto"/>
        <w:ind w:firstLine="720"/>
        <w:contextualSpacing/>
        <w:jc w:val="both"/>
        <w:rPr>
          <w:rFonts w:ascii="Times New Roman" w:hAnsi="Times New Roman" w:cs="Times New Roman"/>
          <w:b w:val="0"/>
          <w:bCs w:val="0"/>
          <w:sz w:val="24"/>
          <w:szCs w:val="24"/>
        </w:rPr>
      </w:pPr>
      <w:r>
        <w:rPr>
          <w:rFonts w:ascii="Times New Roman" w:hAnsi="Times New Roman" w:cs="Times New Roman"/>
          <w:b w:val="0"/>
          <w:bCs w:val="0"/>
          <w:sz w:val="24"/>
          <w:szCs w:val="24"/>
        </w:rPr>
        <w:t xml:space="preserve">Los CEPs que decidan compartir sus observaciones con el Grupo de Trabajo responsable de la guía pueden hacerlo en cualquier momento a través de la Secretaría Ejecutiva de la INAEP (se.inaep@saude.gov.br). No hay plazo, no hay formulario obligatorio, no hay contrapartida institucional. Compartir es un acto voluntario, y su único propósito es informar la evolución futura del instrumento.</w:t>
      </w:r>
    </w:p>
    <w:p w14:paraId="7D91D8B7" w14:textId="77777777" w:rsidR="00640741" w:rsidRPr="00640741" w:rsidRDefault="00000000" w:rsidP="003C2BBA">
      <w:pPr>
        <w:pStyle w:val="Heading1"/>
        <w:spacing w:line="360" w:lineRule="auto"/>
        <w:ind w:firstLine="720"/>
        <w:contextualSpacing/>
        <w:jc w:val="both"/>
        <w:rPr>
          <w:rFonts w:ascii="Times New Roman" w:hAnsi="Times New Roman" w:cs="Times New Roman"/>
          <w:b w:val="0"/>
          <w:bCs w:val="0"/>
          <w:sz w:val="24"/>
          <w:szCs w:val="24"/>
        </w:rPr>
      </w:pPr>
      <w:r>
        <w:rPr>
          <w:rFonts w:ascii="Times New Roman" w:hAnsi="Times New Roman" w:cs="Times New Roman"/>
          <w:b w:val="0"/>
          <w:bCs w:val="0"/>
          <w:sz w:val="24"/>
          <w:szCs w:val="24"/>
        </w:rPr>
        <w:t>El canal sugerido es el envío de la planilla-modelo, cumplimentada y con la identificación institucional del CEP, a la dirección electrónica del Grupo de Trabajo indicada en la página oficial de la guía. El envío puede hacerse en el formato que el CEP prefiera: la planilla completa, un resumen de los indicadores agregados o solo una nota narrativa que describa lo que el colegiado observó. Los CEPs preocupados por la confidencialidad de la información institucional pueden enviar solo los indicadores agregados, sin los registros por protocolo.</w:t>
      </w:r>
    </w:p>
    <w:p w14:paraId="2585514B" w14:textId="2DB7C1C8" w:rsidR="00EC0D1F" w:rsidRPr="00640741" w:rsidRDefault="00000000" w:rsidP="003C2BBA">
      <w:pPr>
        <w:pStyle w:val="Heading1"/>
        <w:spacing w:line="360" w:lineRule="auto"/>
        <w:ind w:firstLine="720"/>
        <w:contextualSpacing/>
        <w:jc w:val="both"/>
        <w:rPr>
          <w:rFonts w:ascii="Times New Roman" w:hAnsi="Times New Roman" w:cs="Times New Roman"/>
          <w:b w:val="0"/>
          <w:bCs w:val="0"/>
          <w:sz w:val="24"/>
          <w:szCs w:val="24"/>
        </w:rPr>
      </w:pPr>
      <w:r>
        <w:rPr>
          <w:rFonts w:ascii="Times New Roman" w:hAnsi="Times New Roman" w:cs="Times New Roman"/>
          <w:b w:val="0"/>
          <w:bCs w:val="0"/>
          <w:sz w:val="24"/>
          <w:szCs w:val="24"/>
        </w:rPr>
        <w:t>El Grupo de Trabajo consolidará las contribuciones recibidas y las utilizará, junto con otras fuentes de evidencia, para informar eventuales revisiones de la matriz en ciclos futuros de actualización de la guía. Las contribuciones no tendrán atribución nominal sin autorización expresa del CEP remitente, y ningún CEP será identificado en una publicación derivada sin su consentimiento institucional.</w:t>
      </w:r>
    </w:p>
    <w:p w14:paraId="5A3270C9" w14:textId="77777777" w:rsidR="00640741" w:rsidRDefault="00640741" w:rsidP="003C2BBA">
      <w:pPr>
        <w:pStyle w:val="Heading1"/>
        <w:spacing w:line="360" w:lineRule="auto"/>
        <w:contextualSpacing/>
        <w:jc w:val="both"/>
        <w:rPr>
          <w:rFonts w:ascii="Times New Roman" w:hAnsi="Times New Roman" w:cs="Times New Roman"/>
        </w:rPr>
      </w:pPr>
    </w:p>
    <w:p w14:paraId="7C5EE980" w14:textId="77777777" w:rsidR="00640741" w:rsidRDefault="00640741" w:rsidP="003C2BBA">
      <w:pPr>
        <w:pStyle w:val="Heading1"/>
        <w:spacing w:line="360" w:lineRule="auto"/>
        <w:contextualSpacing/>
        <w:jc w:val="both"/>
        <w:rPr>
          <w:rFonts w:ascii="Times New Roman" w:hAnsi="Times New Roman" w:cs="Times New Roman"/>
        </w:rPr>
      </w:pPr>
    </w:p>
    <w:p w14:paraId="2756E750" w14:textId="77777777" w:rsidR="00640741" w:rsidRPr="003C2BBA" w:rsidRDefault="00000000" w:rsidP="003C2BBA">
      <w:pPr>
        <w:pStyle w:val="Heading1"/>
        <w:spacing w:line="360" w:lineRule="auto"/>
        <w:contextualSpacing/>
        <w:jc w:val="both"/>
        <w:rPr>
          <w:rFonts w:ascii="Times New Roman" w:hAnsi="Times New Roman" w:cs="Times New Roman"/>
          <w:sz w:val="24"/>
          <w:szCs w:val="24"/>
        </w:rPr>
      </w:pPr>
      <w:r>
        <w:rPr>
          <w:rFonts w:ascii="Times New Roman" w:hAnsi="Times New Roman" w:cs="Times New Roman"/>
          <w:sz w:val="24"/>
          <w:szCs w:val="24"/>
        </w:rPr>
        <w:t>F.6  Recursos disponibles</w:t>
      </w:r>
    </w:p>
    <w:p w14:paraId="16308A11" w14:textId="77777777" w:rsidR="00640741" w:rsidRPr="003C2BBA" w:rsidRDefault="00000000" w:rsidP="003C2BBA">
      <w:pPr>
        <w:pStyle w:val="Heading1"/>
        <w:spacing w:line="360" w:lineRule="auto"/>
        <w:ind w:firstLine="720"/>
        <w:contextualSpacing/>
        <w:jc w:val="both"/>
        <w:rPr>
          <w:rFonts w:ascii="Times New Roman" w:hAnsi="Times New Roman" w:cs="Times New Roman"/>
          <w:b w:val="0"/>
          <w:bCs w:val="0"/>
          <w:sz w:val="24"/>
          <w:szCs w:val="24"/>
        </w:rPr>
      </w:pPr>
      <w:r>
        <w:rPr>
          <w:rFonts w:ascii="Times New Roman" w:hAnsi="Times New Roman" w:cs="Times New Roman"/>
          <w:b w:val="0"/>
          <w:bCs w:val="0"/>
          <w:sz w:val="24"/>
          <w:szCs w:val="24"/>
        </w:rPr>
        <w:t>Acompaña esta Sección una planilla-modelo en formato .xlsx, con pestañas dedicadas a cada uno de los tres frentes de validación, fórmulas preconfiguradas para el cálculo de los indicadores y un panel-resumen con lectura sugerida. La planilla puede usarse en cualquier software compatible, como Microsoft Excel, LibreOffice Calc o Google Sheets, y no requiere instalar ninguna extensión estadística.</w:t>
      </w:r>
    </w:p>
    <w:p w14:paraId="6BBF4EB2" w14:textId="77777777" w:rsidR="00640741" w:rsidRPr="003C2BBA" w:rsidRDefault="00000000" w:rsidP="003C2BBA">
      <w:pPr>
        <w:pStyle w:val="Heading1"/>
        <w:spacing w:line="360" w:lineRule="auto"/>
        <w:ind w:firstLine="720"/>
        <w:contextualSpacing/>
        <w:jc w:val="both"/>
        <w:rPr>
          <w:rFonts w:ascii="Times New Roman" w:hAnsi="Times New Roman" w:cs="Times New Roman"/>
          <w:b w:val="0"/>
          <w:bCs w:val="0"/>
          <w:sz w:val="24"/>
          <w:szCs w:val="24"/>
        </w:rPr>
      </w:pPr>
      <w:r>
        <w:rPr>
          <w:rFonts w:ascii="Times New Roman" w:hAnsi="Times New Roman" w:cs="Times New Roman"/>
          <w:b w:val="0"/>
          <w:bCs w:val="0"/>
          <w:sz w:val="24"/>
          <w:szCs w:val="24"/>
        </w:rPr>
        <w:t>El software MARIAH, descrito en la Guía y puesto a disposición como Software Público Brasileño, ofrece una capa operativa complementaria: la aplicación de las matrices directamente en formato digital, con exportación de informes estandarizados. Los CEPs que prefieran realizar el ejercicio de validación en un entorno digital pueden hacerlo exportando los informes y transfiriendo los datos a la planilla-modelo de esta Sección de Validación Local. El repositorio oficial del software está en github.com/Tonaco-13.</w:t>
      </w:r>
    </w:p>
    <w:p w14:paraId="414D99F2" w14:textId="041D1BC7" w:rsidR="00EC0D1F" w:rsidRPr="003C2BBA" w:rsidRDefault="00000000" w:rsidP="003C2BBA">
      <w:pPr>
        <w:pStyle w:val="Heading1"/>
        <w:spacing w:line="360" w:lineRule="auto"/>
        <w:ind w:firstLine="720"/>
        <w:contextualSpacing/>
        <w:jc w:val="both"/>
        <w:rPr>
          <w:rFonts w:ascii="Times New Roman" w:hAnsi="Times New Roman" w:cs="Times New Roman"/>
          <w:b w:val="0"/>
          <w:bCs w:val="0"/>
          <w:sz w:val="24"/>
          <w:szCs w:val="24"/>
        </w:rPr>
      </w:pPr>
      <w:r>
        <w:rPr>
          <w:rFonts w:ascii="Times New Roman" w:hAnsi="Times New Roman" w:cs="Times New Roman"/>
          <w:b w:val="0"/>
          <w:bCs w:val="0"/>
          <w:sz w:val="24"/>
          <w:szCs w:val="24"/>
        </w:rPr>
        <w:t>Las dudas operativas sobre la aplicación de este guion pueden enviarse, junto con observaciones y sugerencias, por el canal indicado en F.5.</w:t>
      </w:r>
    </w:p>
    <w:p w14:paraId="7924713F" w14:textId="77777777" w:rsidR="003C2BBA" w:rsidRDefault="003C2BBA" w:rsidP="003C2BBA">
      <w:pPr>
        <w:pStyle w:val="Heading1"/>
        <w:spacing w:line="360" w:lineRule="auto"/>
        <w:contextualSpacing/>
        <w:jc w:val="both"/>
        <w:rPr>
          <w:rFonts w:ascii="Times New Roman" w:hAnsi="Times New Roman" w:cs="Times New Roman"/>
          <w:b w:val="0"/>
          <w:bCs w:val="0"/>
          <w:sz w:val="24"/>
          <w:szCs w:val="24"/>
        </w:rPr>
      </w:pPr>
    </w:p>
    <w:p w14:paraId="71611443" w14:textId="34534254" w:rsidR="003C2BBA" w:rsidRPr="003C2BBA" w:rsidRDefault="00000000" w:rsidP="003C2BBA">
      <w:pPr>
        <w:pStyle w:val="Heading1"/>
        <w:spacing w:line="360" w:lineRule="auto"/>
        <w:contextualSpacing/>
        <w:jc w:val="both"/>
        <w:rPr>
          <w:rFonts w:ascii="Times New Roman" w:hAnsi="Times New Roman" w:cs="Times New Roman"/>
          <w:sz w:val="24"/>
          <w:szCs w:val="24"/>
        </w:rPr>
      </w:pPr>
      <w:r>
        <w:rPr>
          <w:rFonts w:ascii="Times New Roman" w:hAnsi="Times New Roman" w:cs="Times New Roman"/>
          <w:sz w:val="24"/>
          <w:szCs w:val="24"/>
        </w:rPr>
        <w:t>Referencias</w:t>
      </w:r>
    </w:p>
    <w:p w14:paraId="43683A08" w14:textId="77777777" w:rsidR="003C2BBA" w:rsidRDefault="00000000" w:rsidP="003C2BBA">
      <w:pPr>
        <w:pStyle w:val="Heading1"/>
        <w:spacing w:line="360" w:lineRule="auto"/>
        <w:contextualSpacing/>
        <w:jc w:val="both"/>
        <w:rPr>
          <w:rFonts w:ascii="Times New Roman" w:hAnsi="Times New Roman" w:cs="Times New Roman"/>
          <w:b w:val="0"/>
          <w:bCs w:val="0"/>
          <w:sz w:val="24"/>
          <w:szCs w:val="24"/>
        </w:rPr>
      </w:pPr>
      <w:r>
        <w:rPr>
          <w:rFonts w:ascii="Times New Roman" w:hAnsi="Times New Roman" w:cs="Times New Roman"/>
          <w:b w:val="0"/>
          <w:bCs w:val="0"/>
          <w:sz w:val="24"/>
          <w:szCs w:val="24"/>
        </w:rPr>
        <w:t>BRASIL. Conselho Nacional de Saúde. Resolução n.º 466, de 12 de dezembro de 2012. Brasília: Ministério da Saúde, 2012.</w:t>
      </w:r>
    </w:p>
    <w:p w14:paraId="17876958" w14:textId="77777777" w:rsidR="003C2BBA" w:rsidRDefault="00000000" w:rsidP="003C2BBA">
      <w:pPr>
        <w:pStyle w:val="Heading1"/>
        <w:spacing w:line="360" w:lineRule="auto"/>
        <w:contextualSpacing/>
        <w:jc w:val="both"/>
        <w:rPr>
          <w:rFonts w:ascii="Times New Roman" w:hAnsi="Times New Roman" w:cs="Times New Roman"/>
          <w:b w:val="0"/>
          <w:bCs w:val="0"/>
          <w:sz w:val="24"/>
          <w:szCs w:val="24"/>
        </w:rPr>
      </w:pPr>
      <w:r>
        <w:rPr>
          <w:rFonts w:ascii="Times New Roman" w:hAnsi="Times New Roman" w:cs="Times New Roman"/>
          <w:b w:val="0"/>
          <w:bCs w:val="0"/>
          <w:sz w:val="24"/>
          <w:szCs w:val="24"/>
        </w:rPr>
        <w:t>BRASIL. Conselho Nacional de Saúde. Resolução n.º 510, de 7 de abril de 2016. Brasília: Ministério da Saúde, 2016.</w:t>
      </w:r>
    </w:p>
    <w:p w14:paraId="7032C6D8" w14:textId="77777777" w:rsidR="003C2BBA" w:rsidRDefault="00000000" w:rsidP="003C2BBA">
      <w:pPr>
        <w:pStyle w:val="Heading1"/>
        <w:spacing w:line="360" w:lineRule="auto"/>
        <w:contextualSpacing/>
        <w:jc w:val="both"/>
        <w:rPr>
          <w:rFonts w:ascii="Times New Roman" w:hAnsi="Times New Roman" w:cs="Times New Roman"/>
          <w:b w:val="0"/>
          <w:bCs w:val="0"/>
          <w:sz w:val="24"/>
          <w:szCs w:val="24"/>
        </w:rPr>
      </w:pPr>
      <w:r>
        <w:rPr>
          <w:rFonts w:ascii="Times New Roman" w:hAnsi="Times New Roman" w:cs="Times New Roman"/>
          <w:b w:val="0"/>
          <w:bCs w:val="0"/>
          <w:sz w:val="24"/>
          <w:szCs w:val="24"/>
        </w:rPr>
        <w:t>BRASIL. Conselho Nacional de Saúde. Resolução n.º 738, de 8 de novembro de 2024. Brasília: Ministério da Saúde, 2024.</w:t>
      </w:r>
    </w:p>
    <w:p w14:paraId="49364F02" w14:textId="77777777" w:rsidR="003C2BBA" w:rsidRDefault="00000000" w:rsidP="003C2BBA">
      <w:pPr>
        <w:pStyle w:val="Heading1"/>
        <w:spacing w:line="360" w:lineRule="auto"/>
        <w:contextualSpacing/>
        <w:jc w:val="both"/>
        <w:rPr>
          <w:rFonts w:ascii="Times New Roman" w:hAnsi="Times New Roman" w:cs="Times New Roman"/>
          <w:b w:val="0"/>
          <w:bCs w:val="0"/>
          <w:sz w:val="24"/>
          <w:szCs w:val="24"/>
        </w:rPr>
      </w:pPr>
      <w:r>
        <w:rPr>
          <w:rFonts w:ascii="Times New Roman" w:hAnsi="Times New Roman" w:cs="Times New Roman"/>
          <w:b w:val="0"/>
          <w:bCs w:val="0"/>
          <w:sz w:val="24"/>
          <w:szCs w:val="24"/>
        </w:rPr>
        <w:t>COHEN, J. A coefficient of agreement for nominal scales. Educational and Psychological Measurement, v. 20, n. 1, p. 37–46, 1960.</w:t>
      </w:r>
    </w:p>
    <w:p w14:paraId="4CE3D7C8" w14:textId="77777777" w:rsidR="003C2BBA" w:rsidRDefault="00000000" w:rsidP="003C2BBA">
      <w:pPr>
        <w:pStyle w:val="Heading1"/>
        <w:spacing w:line="360" w:lineRule="auto"/>
        <w:contextualSpacing/>
        <w:jc w:val="both"/>
        <w:rPr>
          <w:rFonts w:ascii="Times New Roman" w:hAnsi="Times New Roman" w:cs="Times New Roman"/>
          <w:b w:val="0"/>
          <w:bCs w:val="0"/>
          <w:sz w:val="24"/>
          <w:szCs w:val="24"/>
        </w:rPr>
      </w:pPr>
      <w:r>
        <w:rPr>
          <w:rFonts w:ascii="Times New Roman" w:hAnsi="Times New Roman" w:cs="Times New Roman"/>
          <w:b w:val="0"/>
          <w:bCs w:val="0"/>
          <w:sz w:val="24"/>
          <w:szCs w:val="24"/>
        </w:rPr>
        <w:t>LANDIS, J. R.; KOCH, G. G. The measurement of observer agreement for categorical data. Biometrics, v. 33, n. 1, p. 159–174, 1977.</w:t>
      </w:r>
    </w:p>
    <w:p w14:paraId="7FFE3BE0" w14:textId="6733E4F7" w:rsidR="00EC0D1F" w:rsidRPr="003C2BBA" w:rsidRDefault="00000000" w:rsidP="003C2BBA">
      <w:pPr>
        <w:pStyle w:val="Heading1"/>
        <w:spacing w:line="360" w:lineRule="auto"/>
        <w:contextualSpacing/>
        <w:jc w:val="both"/>
        <w:rPr>
          <w:rFonts w:ascii="Times New Roman" w:hAnsi="Times New Roman" w:cs="Times New Roman"/>
          <w:b w:val="0"/>
          <w:bCs w:val="0"/>
          <w:sz w:val="24"/>
          <w:szCs w:val="24"/>
        </w:rPr>
      </w:pPr>
      <w:r>
        <w:rPr>
          <w:rFonts w:ascii="Times New Roman" w:hAnsi="Times New Roman" w:cs="Times New Roman"/>
          <w:b w:val="0"/>
          <w:bCs w:val="0"/>
          <w:sz w:val="24"/>
          <w:szCs w:val="24"/>
        </w:rPr>
        <w:t>SAMUELS, R.; OLIVEIRA, A. S. (Org.). Diretrizes éticas para pesquisa com inteligência artificial: guia para Comitês de Ética em Pesquisa. Brasília: Ministério da Saúde, no prelo. Capítulos 7 e 9.</w:t>
      </w:r>
    </w:p>
    <w:sectPr w:rsidR="00EC0D1F" w:rsidRPr="003C2BBA">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B001F8" w14:textId="77777777" w:rsidR="00DC5EF2" w:rsidRDefault="00DC5EF2">
      <w:r>
        <w:separator/>
      </w:r>
    </w:p>
  </w:endnote>
  <w:endnote w:type="continuationSeparator" w:id="0">
    <w:p w14:paraId="4FD45C45" w14:textId="77777777" w:rsidR="00DC5EF2" w:rsidRDefault="00DC5E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1C33FB" w14:textId="77777777" w:rsidR="00EC0D1F" w:rsidRDefault="00000000">
    <w:pPr>
      <w:jc w:val="center"/>
    </w:pPr>
    <w:r>
      <w:rPr>
        <w:color w:val="666666"/>
        <w:sz w:val="18"/>
        <w:szCs w:val="18"/>
      </w:rPr>
      <w:t xml:space="preserve">Página </w:t>
    </w:r>
    <w:r>
      <w:rPr>
        <w:color w:val="666666"/>
        <w:sz w:val="18"/>
        <w:szCs w:val="18"/>
      </w:rPr>
      <w:fldChar w:fldCharType="begin"/>
    </w:r>
    <w:r>
      <w:rPr>
        <w:color w:val="666666"/>
        <w:sz w:val="18"/>
        <w:szCs w:val="18"/>
      </w:rPr>
      <w:instrText>PAGE</w:instrText>
    </w:r>
    <w:r>
      <w:rPr>
        <w:color w:val="666666"/>
        <w:sz w:val="18"/>
        <w:szCs w:val="18"/>
      </w:rPr>
      <w:fldChar w:fldCharType="separate"/>
    </w:r>
    <w:r w:rsidR="008768D1">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B85EE3" w14:textId="77777777" w:rsidR="00DC5EF2" w:rsidRDefault="00DC5EF2">
      <w:r>
        <w:separator/>
      </w:r>
    </w:p>
  </w:footnote>
  <w:footnote w:type="continuationSeparator" w:id="0">
    <w:p w14:paraId="010CA110" w14:textId="77777777" w:rsidR="00DC5EF2" w:rsidRDefault="00DC5E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36A81E" w14:textId="77777777" w:rsidR="00EC0D1F" w:rsidRDefault="00000000">
    <w:pPr>
      <w:jc w:val="right"/>
    </w:pPr>
    <w:r>
      <w:rPr>
        <w:color w:val="666666"/>
        <w:sz w:val="18"/>
        <w:szCs w:val="18"/>
      </w:rPr>
      <w:t>Guía de Uso Ético de la Inteligencia Artificial en Investigación con Seres Humanos  ·  Validación Local (documento MARIAH)</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00752C"/>
    <w:multiLevelType w:val="hybridMultilevel"/>
    <w:tmpl w:val="EE9A3C32"/>
    <w:lvl w:ilvl="0" w:tplc="DADCC27C">
      <w:start w:val="1"/>
      <w:numFmt w:val="bullet"/>
      <w:lvlText w:val="●"/>
      <w:lvlJc w:val="left"/>
      <w:pPr>
        <w:ind w:left="720" w:hanging="360"/>
      </w:pPr>
    </w:lvl>
    <w:lvl w:ilvl="1" w:tplc="CBDEABEC">
      <w:start w:val="1"/>
      <w:numFmt w:val="bullet"/>
      <w:lvlText w:val="○"/>
      <w:lvlJc w:val="left"/>
      <w:pPr>
        <w:ind w:left="1440" w:hanging="360"/>
      </w:pPr>
    </w:lvl>
    <w:lvl w:ilvl="2" w:tplc="EAEE319C">
      <w:start w:val="1"/>
      <w:numFmt w:val="bullet"/>
      <w:lvlText w:val="■"/>
      <w:lvlJc w:val="left"/>
      <w:pPr>
        <w:ind w:left="2160" w:hanging="360"/>
      </w:pPr>
    </w:lvl>
    <w:lvl w:ilvl="3" w:tplc="98929672">
      <w:start w:val="1"/>
      <w:numFmt w:val="bullet"/>
      <w:lvlText w:val="●"/>
      <w:lvlJc w:val="left"/>
      <w:pPr>
        <w:ind w:left="2880" w:hanging="360"/>
      </w:pPr>
    </w:lvl>
    <w:lvl w:ilvl="4" w:tplc="14E288C6">
      <w:start w:val="1"/>
      <w:numFmt w:val="bullet"/>
      <w:lvlText w:val="○"/>
      <w:lvlJc w:val="left"/>
      <w:pPr>
        <w:ind w:left="3600" w:hanging="360"/>
      </w:pPr>
    </w:lvl>
    <w:lvl w:ilvl="5" w:tplc="8ABA9910">
      <w:start w:val="1"/>
      <w:numFmt w:val="bullet"/>
      <w:lvlText w:val="■"/>
      <w:lvlJc w:val="left"/>
      <w:pPr>
        <w:ind w:left="4320" w:hanging="360"/>
      </w:pPr>
    </w:lvl>
    <w:lvl w:ilvl="6" w:tplc="8D56844A">
      <w:start w:val="1"/>
      <w:numFmt w:val="bullet"/>
      <w:lvlText w:val="●"/>
      <w:lvlJc w:val="left"/>
      <w:pPr>
        <w:ind w:left="5040" w:hanging="360"/>
      </w:pPr>
    </w:lvl>
    <w:lvl w:ilvl="7" w:tplc="B158F9D0">
      <w:start w:val="1"/>
      <w:numFmt w:val="bullet"/>
      <w:lvlText w:val="●"/>
      <w:lvlJc w:val="left"/>
      <w:pPr>
        <w:ind w:left="5760" w:hanging="360"/>
      </w:pPr>
    </w:lvl>
    <w:lvl w:ilvl="8" w:tplc="23E6A6D8">
      <w:start w:val="1"/>
      <w:numFmt w:val="bullet"/>
      <w:lvlText w:val="●"/>
      <w:lvlJc w:val="left"/>
      <w:pPr>
        <w:ind w:left="6480" w:hanging="360"/>
      </w:pPr>
    </w:lvl>
  </w:abstractNum>
  <w:num w:numId="1" w16cid:durableId="201355801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9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0D1F"/>
    <w:rsid w:val="003C2BBA"/>
    <w:rsid w:val="00421661"/>
    <w:rsid w:val="0046755D"/>
    <w:rsid w:val="0059027D"/>
    <w:rsid w:val="00640741"/>
    <w:rsid w:val="008768D1"/>
    <w:rsid w:val="00CF61F7"/>
    <w:rsid w:val="00DC5EF2"/>
    <w:rsid w:val="00EC0D1F"/>
  </w:rsids>
  <m:mathPr>
    <m:mathFont m:val="Cambria Math"/>
    <m:brkBin m:val="before"/>
    <m:brkBinSub m:val="--"/>
    <m:smallFrac m:val="0"/>
    <m:dispDef/>
    <m:lMargin m:val="0"/>
    <m:rMargin m:val="0"/>
    <m:defJc m:val="centerGroup"/>
    <m:wrapIndent m:val="1440"/>
    <m:intLim m:val="subSup"/>
    <m:naryLim m:val="undOvr"/>
  </m:mathPr>
  <w:themeFontLang w:val="en-BR"/>
  <w:clrSchemeMapping w:bg1="light1" w:t1="dark1" w:bg2="light2" w:t2="dark2" w:accent1="accent1" w:accent2="accent2" w:accent3="accent3" w:accent4="accent4" w:accent5="accent5" w:accent6="accent6" w:hyperlink="hyperlink" w:followedHyperlink="followedHyperlink"/>
  <w:decimalSymbol w:val=","/>
  <w:listSeparator w:val=","/>
  <w14:docId w14:val="4C8CB04C"/>
  <w15:docId w15:val="{61D05A85-218A-F74A-A09F-F7B51DB51D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BR"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sz w:val="30"/>
      <w:szCs w:val="30"/>
    </w:rPr>
  </w:style>
  <w:style w:type="paragraph" w:styleId="Heading2">
    <w:name w:val="heading 2"/>
    <w:uiPriority w:val="9"/>
    <w:unhideWhenUsed/>
    <w:qFormat/>
    <w:pPr>
      <w:spacing w:before="280" w:after="160"/>
      <w:outlineLvl w:val="1"/>
    </w:pPr>
    <w:rPr>
      <w:b/>
      <w:bCs/>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41</TotalTime>
  <Pages>6</Pages>
  <Words>1952</Words>
  <Characters>11890</Characters>
  <Application>Microsoft Office Word</Application>
  <DocSecurity>0</DocSecurity>
  <Lines>237</Lines>
  <Paragraphs>131</Paragraphs>
  <ScaleCrop>false</ScaleCrop>
  <HeadingPairs>
    <vt:vector size="2" baseType="variant">
      <vt:variant>
        <vt:lpstr>Title</vt:lpstr>
      </vt:variant>
      <vt:variant>
        <vt:i4>1</vt:i4>
      </vt:variant>
    </vt:vector>
  </HeadingPairs>
  <TitlesOfParts>
    <vt:vector size="1" baseType="lpstr">
      <vt:lpstr>Validação Local (Caderno 2) — Guia de Validação Local da MARIAH pelos CEPs</vt:lpstr>
    </vt:vector>
  </TitlesOfParts>
  <Company/>
  <LinksUpToDate>false</LinksUpToDate>
  <CharactersWithSpaces>13711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Validação Local (Caderno 2) — Guia de Validação Local da MARIAH pelos CEPs</dc:title>
  <dc:creator>Fabiano Tonaco Borges</dc:creator>
  <dc:description>Validação Local da MARIAH — Caderno 2 do Guia de Uso Ético de Inteligência Artificial da Inteligência Artificial em Pesquisa com Seres Humanos</dc:description>
  <cp:lastModifiedBy>Fabiano Tonaco Borges</cp:lastModifiedBy>
  <cp:revision>4</cp:revision>
  <dcterms:created xsi:type="dcterms:W3CDTF">2026-05-26T13:46:00Z</dcterms:created>
  <dcterms:modified xsi:type="dcterms:W3CDTF">2026-05-27T11:50:00Z</dcterms:modified>
</cp:coreProperties>
</file>