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BB224" w14:textId="77777777" w:rsidR="00EC0D1F" w:rsidRPr="0059027D" w:rsidRDefault="00000000" w:rsidP="0059027D">
      <w:pPr>
        <w:spacing w:after="120" w:line="360" w:lineRule="auto"/>
        <w:contextualSpacing/>
        <w:rPr>
          <w:rFonts w:ascii="Times New Roman" w:hAnsi="Times New Roman" w:cs="Times New Roman"/>
        </w:rPr>
      </w:pPr>
      <w:r w:rsidRPr="0059027D">
        <w:rPr>
          <w:rFonts w:ascii="Times New Roman" w:hAnsi="Times New Roman" w:cs="Times New Roman"/>
          <w:b/>
          <w:bCs/>
          <w:sz w:val="32"/>
          <w:szCs w:val="32"/>
        </w:rPr>
        <w:t>APÊNDICE F</w:t>
      </w:r>
    </w:p>
    <w:p w14:paraId="429E0025" w14:textId="77777777" w:rsidR="00EC0D1F" w:rsidRPr="0059027D" w:rsidRDefault="00000000" w:rsidP="0059027D">
      <w:pPr>
        <w:spacing w:after="240" w:line="360" w:lineRule="auto"/>
        <w:contextualSpacing/>
        <w:rPr>
          <w:rFonts w:ascii="Times New Roman" w:hAnsi="Times New Roman" w:cs="Times New Roman"/>
        </w:rPr>
      </w:pPr>
      <w:r w:rsidRPr="0059027D">
        <w:rPr>
          <w:rFonts w:ascii="Times New Roman" w:hAnsi="Times New Roman" w:cs="Times New Roman"/>
          <w:b/>
          <w:bCs/>
          <w:sz w:val="28"/>
          <w:szCs w:val="28"/>
        </w:rPr>
        <w:t>Guia de Validação Local da MARIAH pelos Comitês de Ética em Pesquisa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C0D1F" w:rsidRPr="0059027D" w14:paraId="7D547F0B" w14:textId="77777777">
        <w:tblPrEx>
          <w:tblCellMar>
            <w:top w:w="0" w:type="dxa"/>
            <w:bottom w:w="0" w:type="dxa"/>
          </w:tblCellMar>
        </w:tblPrEx>
        <w:tc>
          <w:tcPr>
            <w:tcW w:w="9360" w:type="dxa"/>
            <w:tcBorders>
              <w:top w:val="single" w:sz="4" w:space="0" w:color="888888"/>
              <w:left w:val="single" w:sz="4" w:space="0" w:color="888888"/>
              <w:bottom w:val="single" w:sz="4" w:space="0" w:color="888888"/>
              <w:right w:val="single" w:sz="4" w:space="0" w:color="888888"/>
            </w:tcBorders>
            <w:shd w:val="clear" w:color="auto" w:fill="EFEFEF"/>
            <w:tcMar>
              <w:top w:w="160" w:type="dxa"/>
              <w:left w:w="200" w:type="dxa"/>
              <w:bottom w:w="160" w:type="dxa"/>
              <w:right w:w="200" w:type="dxa"/>
            </w:tcMar>
          </w:tcPr>
          <w:p w14:paraId="427868F4" w14:textId="77777777" w:rsidR="00EC0D1F" w:rsidRPr="0059027D" w:rsidRDefault="00000000" w:rsidP="0059027D">
            <w:pPr>
              <w:spacing w:after="80" w:line="360" w:lineRule="auto"/>
              <w:contextualSpacing/>
              <w:rPr>
                <w:rFonts w:ascii="Times New Roman" w:hAnsi="Times New Roman" w:cs="Times New Roman"/>
              </w:rPr>
            </w:pPr>
            <w:r w:rsidRPr="0059027D">
              <w:rPr>
                <w:rFonts w:ascii="Times New Roman" w:hAnsi="Times New Roman" w:cs="Times New Roman"/>
                <w:b/>
                <w:bCs/>
              </w:rPr>
              <w:t>Quadro F.1  Guia de leitura do Apêndice F</w:t>
            </w:r>
          </w:p>
          <w:p w14:paraId="205F267E" w14:textId="78704A5E" w:rsidR="00EC0D1F" w:rsidRPr="0059027D" w:rsidRDefault="00000000" w:rsidP="0059027D">
            <w:pPr>
              <w:spacing w:line="360" w:lineRule="auto"/>
              <w:contextualSpacing/>
              <w:jc w:val="both"/>
              <w:rPr>
                <w:rFonts w:ascii="Times New Roman" w:hAnsi="Times New Roman" w:cs="Times New Roman"/>
              </w:rPr>
            </w:pPr>
            <w:r w:rsidRPr="0059027D">
              <w:rPr>
                <w:rFonts w:ascii="Times New Roman" w:hAnsi="Times New Roman" w:cs="Times New Roman"/>
              </w:rPr>
              <w:t xml:space="preserve">Este apêndice oferece um roteiro prático para Comitês de Ética em Pesquisa que decidam, por iniciativa institucional própria, validar a Matriz MARIAH na sua casuística. Não há plano nacional centralizado, não há adesão formal a consórcio, não há prazo de execução. Cada CEP roda o que lhe for útil, no ritmo que lhe couber. O retorno de resultados ao Grupo de Trabalho responsável pelo guia é facultativo e serve à evolução futura do instrumento. As três frentes propostas em F.2 </w:t>
            </w:r>
            <w:r w:rsidR="0046755D" w:rsidRPr="0059027D">
              <w:rPr>
                <w:rFonts w:ascii="Times New Roman" w:hAnsi="Times New Roman" w:cs="Times New Roman"/>
              </w:rPr>
              <w:t>(</w:t>
            </w:r>
            <w:r w:rsidRPr="0059027D">
              <w:rPr>
                <w:rFonts w:ascii="Times New Roman" w:hAnsi="Times New Roman" w:cs="Times New Roman"/>
              </w:rPr>
              <w:t>concordância entre avaliadores, distribuição empírica dos protocolos e convergência entre as duas versões da matriz</w:t>
            </w:r>
            <w:r w:rsidR="0046755D" w:rsidRPr="0059027D">
              <w:rPr>
                <w:rFonts w:ascii="Times New Roman" w:hAnsi="Times New Roman" w:cs="Times New Roman"/>
              </w:rPr>
              <w:t>)</w:t>
            </w:r>
            <w:r w:rsidRPr="0059027D">
              <w:rPr>
                <w:rFonts w:ascii="Times New Roman" w:hAnsi="Times New Roman" w:cs="Times New Roman"/>
              </w:rPr>
              <w:t xml:space="preserve"> podem ser executadas em conjunto ou separadamente. A planilha-modelo que acompanha este apêndice automatiza o registro e o cálculo dos indicadores e dispensa o uso de qualquer software estatístico especializado.</w:t>
            </w:r>
          </w:p>
        </w:tc>
      </w:tr>
    </w:tbl>
    <w:p w14:paraId="2C5D297F" w14:textId="77777777" w:rsidR="0059027D" w:rsidRPr="0059027D" w:rsidRDefault="00000000" w:rsidP="0059027D">
      <w:pPr>
        <w:pStyle w:val="Heading1"/>
        <w:spacing w:line="360" w:lineRule="auto"/>
        <w:contextualSpacing/>
        <w:jc w:val="both"/>
        <w:rPr>
          <w:rFonts w:ascii="Times New Roman" w:hAnsi="Times New Roman" w:cs="Times New Roman"/>
          <w:sz w:val="24"/>
          <w:szCs w:val="24"/>
        </w:rPr>
      </w:pPr>
      <w:r w:rsidRPr="0059027D">
        <w:rPr>
          <w:rFonts w:ascii="Times New Roman" w:hAnsi="Times New Roman" w:cs="Times New Roman"/>
          <w:sz w:val="24"/>
          <w:szCs w:val="24"/>
        </w:rPr>
        <w:t>F.1  Por que validar a MARIAH na sua casuística</w:t>
      </w:r>
    </w:p>
    <w:p w14:paraId="43F33605" w14:textId="77777777" w:rsidR="0059027D" w:rsidRPr="0059027D" w:rsidRDefault="00000000" w:rsidP="0059027D">
      <w:pPr>
        <w:pStyle w:val="Heading1"/>
        <w:spacing w:line="360" w:lineRule="auto"/>
        <w:ind w:firstLine="720"/>
        <w:contextualSpacing/>
        <w:jc w:val="both"/>
        <w:rPr>
          <w:rFonts w:ascii="Times New Roman" w:hAnsi="Times New Roman" w:cs="Times New Roman"/>
          <w:b w:val="0"/>
          <w:bCs w:val="0"/>
          <w:sz w:val="24"/>
          <w:szCs w:val="24"/>
        </w:rPr>
      </w:pPr>
      <w:r w:rsidRPr="0059027D">
        <w:rPr>
          <w:rFonts w:ascii="Times New Roman" w:hAnsi="Times New Roman" w:cs="Times New Roman"/>
          <w:b w:val="0"/>
          <w:bCs w:val="0"/>
          <w:sz w:val="24"/>
          <w:szCs w:val="24"/>
        </w:rPr>
        <w:t>O Capítulo 7 deste guia é explícito ao posicionar a MARIAH como instrumento de apoio à deliberação do Comitê de Ética em Pesquisa, e não como norma que vincule sua decisão. A adoção da matriz é escolha institucional de cada CEP. Esse mesmo espírito orienta a validação: nenhum CEP é obrigado a validar a MARIAH, e nenhum CEP precisa esperar decisão central para fazê-lo. Quando o colegiado entender que vale a pena verificar como a matriz se comporta nos protocolos que efetivamente lhe são submetidos, este apêndice oferece um roteiro prático para conduzir essa verificação.</w:t>
      </w:r>
    </w:p>
    <w:p w14:paraId="231DBDD0" w14:textId="77777777" w:rsidR="0059027D" w:rsidRPr="0059027D" w:rsidRDefault="00000000" w:rsidP="0059027D">
      <w:pPr>
        <w:pStyle w:val="Heading1"/>
        <w:spacing w:line="360" w:lineRule="auto"/>
        <w:ind w:firstLine="720"/>
        <w:contextualSpacing/>
        <w:jc w:val="both"/>
        <w:rPr>
          <w:rFonts w:ascii="Times New Roman" w:hAnsi="Times New Roman" w:cs="Times New Roman"/>
          <w:b w:val="0"/>
          <w:bCs w:val="0"/>
          <w:sz w:val="24"/>
          <w:szCs w:val="24"/>
        </w:rPr>
      </w:pPr>
      <w:r w:rsidRPr="0059027D">
        <w:rPr>
          <w:rFonts w:ascii="Times New Roman" w:hAnsi="Times New Roman" w:cs="Times New Roman"/>
          <w:b w:val="0"/>
          <w:bCs w:val="0"/>
          <w:sz w:val="24"/>
          <w:szCs w:val="24"/>
        </w:rPr>
        <w:t>Há três razões pelas quais um CEP pode querer fazer essa validação.</w:t>
      </w:r>
      <w:r w:rsidR="008768D1" w:rsidRPr="0059027D">
        <w:rPr>
          <w:rFonts w:ascii="Times New Roman" w:hAnsi="Times New Roman" w:cs="Times New Roman"/>
          <w:b w:val="0"/>
          <w:bCs w:val="0"/>
          <w:sz w:val="24"/>
          <w:szCs w:val="24"/>
        </w:rPr>
        <w:t xml:space="preserve"> </w:t>
      </w:r>
      <w:r w:rsidR="008768D1" w:rsidRPr="0059027D">
        <w:rPr>
          <w:rFonts w:ascii="Times New Roman" w:hAnsi="Times New Roman" w:cs="Times New Roman"/>
          <w:b w:val="0"/>
          <w:bCs w:val="0"/>
          <w:sz w:val="24"/>
          <w:szCs w:val="24"/>
        </w:rPr>
        <w:t>A primeira é o aprendizado institucional. A aplicação sistemática da matriz por dois ou mais membros do colegiado revela rapidamente quais perguntas estão sendo interpretadas de forma divergente, oferecendo insumo direto para a capacitação deliberativa descrita no Capítulo 9</w:t>
      </w:r>
      <w:r w:rsidRPr="0059027D">
        <w:rPr>
          <w:rFonts w:ascii="Times New Roman" w:hAnsi="Times New Roman" w:cs="Times New Roman"/>
          <w:b w:val="0"/>
          <w:bCs w:val="0"/>
          <w:sz w:val="24"/>
          <w:szCs w:val="24"/>
        </w:rPr>
        <w:t xml:space="preserve">. A segunda é de qualificação institucional do parecer. Um CEP que demonstre, com base na sua própria casuística, que aplica a MARIAH de modo consistente entre avaliadores, fortalece a credibilidade dos seus pareceres em protocolos com inteligência artificial perante pesquisadores, patrocinadores e a sociedade. A terceira é de contribuição opcional à evolução do instrumento. Os pontos de corte atuais da Versão B são, conforme o próprio Capítulo 7 reconhece, calibrações teóricas que </w:t>
      </w:r>
      <w:r w:rsidRPr="0059027D">
        <w:rPr>
          <w:rFonts w:ascii="Times New Roman" w:hAnsi="Times New Roman" w:cs="Times New Roman"/>
          <w:b w:val="0"/>
          <w:bCs w:val="0"/>
          <w:sz w:val="24"/>
          <w:szCs w:val="24"/>
        </w:rPr>
        <w:lastRenderedPageBreak/>
        <w:t>merecem ser testadas empiricamente. CEPs que queiram compartilhar suas observações com o Grupo de Trabalho responsável pelo guia podem fazê-lo pelo canal descrito em F.5.</w:t>
      </w:r>
    </w:p>
    <w:p w14:paraId="025E1DC0" w14:textId="37B7D972" w:rsidR="00EC0D1F" w:rsidRPr="0059027D" w:rsidRDefault="00000000" w:rsidP="0059027D">
      <w:pPr>
        <w:pStyle w:val="Heading1"/>
        <w:spacing w:line="360" w:lineRule="auto"/>
        <w:ind w:firstLine="720"/>
        <w:contextualSpacing/>
        <w:jc w:val="both"/>
        <w:rPr>
          <w:rFonts w:ascii="Times New Roman" w:hAnsi="Times New Roman" w:cs="Times New Roman"/>
          <w:b w:val="0"/>
          <w:bCs w:val="0"/>
          <w:sz w:val="24"/>
          <w:szCs w:val="24"/>
        </w:rPr>
      </w:pPr>
      <w:r w:rsidRPr="0059027D">
        <w:rPr>
          <w:rFonts w:ascii="Times New Roman" w:hAnsi="Times New Roman" w:cs="Times New Roman"/>
          <w:b w:val="0"/>
          <w:bCs w:val="0"/>
          <w:sz w:val="24"/>
          <w:szCs w:val="24"/>
        </w:rPr>
        <w:t>Vale, antes do roteiro, uma advertência. Este apêndice não pretende transformar membros de CEP em estatísticos. As métricas propostas em F.4 são as mínimas necessárias para que o colegiado leia os próprios resultados com segurança, e a planilha-modelo que acompanha este apêndice calcula essas métricas automaticamente. O que se espera do CEP é a deliberação colegiada sobre o que os números mostram, não o cálculo dos números em si.</w:t>
      </w:r>
    </w:p>
    <w:p w14:paraId="3470EB79" w14:textId="77777777" w:rsidR="0059027D" w:rsidRDefault="00000000" w:rsidP="0059027D">
      <w:pPr>
        <w:pStyle w:val="Heading1"/>
        <w:spacing w:line="360" w:lineRule="auto"/>
        <w:contextualSpacing/>
        <w:jc w:val="both"/>
        <w:rPr>
          <w:rFonts w:ascii="Times New Roman" w:hAnsi="Times New Roman" w:cs="Times New Roman"/>
          <w:b w:val="0"/>
          <w:bCs w:val="0"/>
          <w:sz w:val="24"/>
          <w:szCs w:val="24"/>
        </w:rPr>
      </w:pPr>
      <w:r w:rsidRPr="0059027D">
        <w:rPr>
          <w:rFonts w:ascii="Times New Roman" w:hAnsi="Times New Roman" w:cs="Times New Roman"/>
          <w:b w:val="0"/>
          <w:bCs w:val="0"/>
          <w:sz w:val="24"/>
          <w:szCs w:val="24"/>
        </w:rPr>
        <w:t>F.2  O que pode ser validado em três frentes</w:t>
      </w:r>
    </w:p>
    <w:p w14:paraId="1C9AEF0A" w14:textId="78B78B88" w:rsidR="00EC0D1F" w:rsidRPr="0059027D" w:rsidRDefault="00000000" w:rsidP="0059027D">
      <w:pPr>
        <w:pStyle w:val="Heading1"/>
        <w:spacing w:line="360" w:lineRule="auto"/>
        <w:ind w:firstLine="720"/>
        <w:contextualSpacing/>
        <w:jc w:val="both"/>
        <w:rPr>
          <w:rFonts w:ascii="Times New Roman" w:hAnsi="Times New Roman" w:cs="Times New Roman"/>
          <w:b w:val="0"/>
          <w:bCs w:val="0"/>
          <w:sz w:val="24"/>
          <w:szCs w:val="24"/>
        </w:rPr>
      </w:pPr>
      <w:r w:rsidRPr="0059027D">
        <w:rPr>
          <w:rFonts w:ascii="Times New Roman" w:hAnsi="Times New Roman" w:cs="Times New Roman"/>
          <w:b w:val="0"/>
          <w:bCs w:val="0"/>
          <w:sz w:val="22"/>
          <w:szCs w:val="22"/>
        </w:rPr>
        <w:t>O apêndice propõe três frentes independentes de validação. Cada CEP pode rodar uma, duas ou as três, em qualquer ordem. As três compartilham a mesma unidade amostral: o protocolo de pesquisa com uso de inteligência artificial submetido ao CEP.</w:t>
      </w:r>
    </w:p>
    <w:p w14:paraId="729F38AD" w14:textId="77777777" w:rsidR="0059027D" w:rsidRPr="0059027D" w:rsidRDefault="00000000" w:rsidP="0059027D">
      <w:pPr>
        <w:pStyle w:val="Heading2"/>
        <w:spacing w:line="360" w:lineRule="auto"/>
        <w:contextualSpacing/>
        <w:rPr>
          <w:rFonts w:ascii="Times New Roman" w:hAnsi="Times New Roman" w:cs="Times New Roman"/>
          <w:sz w:val="24"/>
          <w:szCs w:val="24"/>
        </w:rPr>
      </w:pPr>
      <w:r w:rsidRPr="0059027D">
        <w:rPr>
          <w:rFonts w:ascii="Times New Roman" w:hAnsi="Times New Roman" w:cs="Times New Roman"/>
          <w:sz w:val="24"/>
          <w:szCs w:val="24"/>
        </w:rPr>
        <w:t>F.2.1  Concordância entre avaliadores na Versão A</w:t>
      </w:r>
    </w:p>
    <w:p w14:paraId="04104B9F" w14:textId="0F07B571" w:rsidR="0059027D" w:rsidRPr="0059027D" w:rsidRDefault="00000000" w:rsidP="0059027D">
      <w:pPr>
        <w:pStyle w:val="Heading2"/>
        <w:spacing w:line="360" w:lineRule="auto"/>
        <w:ind w:firstLine="720"/>
        <w:contextualSpacing/>
        <w:jc w:val="both"/>
        <w:rPr>
          <w:rFonts w:ascii="Times New Roman" w:hAnsi="Times New Roman" w:cs="Times New Roman"/>
          <w:b w:val="0"/>
          <w:bCs w:val="0"/>
          <w:sz w:val="24"/>
          <w:szCs w:val="24"/>
        </w:rPr>
      </w:pPr>
      <w:r w:rsidRPr="0059027D">
        <w:rPr>
          <w:rFonts w:ascii="Times New Roman" w:hAnsi="Times New Roman" w:cs="Times New Roman"/>
          <w:b w:val="0"/>
          <w:bCs w:val="0"/>
          <w:sz w:val="24"/>
          <w:szCs w:val="24"/>
        </w:rPr>
        <w:t xml:space="preserve">A primeira frente verifica se dois ou mais </w:t>
      </w:r>
      <w:r w:rsidR="0059027D">
        <w:rPr>
          <w:rFonts w:ascii="Times New Roman" w:hAnsi="Times New Roman" w:cs="Times New Roman"/>
          <w:b w:val="0"/>
          <w:bCs w:val="0"/>
          <w:sz w:val="24"/>
          <w:szCs w:val="24"/>
        </w:rPr>
        <w:t>integrantes</w:t>
      </w:r>
      <w:r w:rsidRPr="0059027D">
        <w:rPr>
          <w:rFonts w:ascii="Times New Roman" w:hAnsi="Times New Roman" w:cs="Times New Roman"/>
          <w:b w:val="0"/>
          <w:bCs w:val="0"/>
          <w:sz w:val="24"/>
          <w:szCs w:val="24"/>
        </w:rPr>
        <w:t xml:space="preserve"> do CEP, ao aplicarem a Versão A da MARIAH ao mesmo protocolo de forma independente, chegam à mesma classificação. É a frente operacionalmente mais simples e a que rende, do ponto de vista de aprendizado institucional, o retorno mais imediato. O colegiado descobre rapidamente em quais eixos há leitura convergente e em quais há discordância sistemática, o que orienta diretamente o que precisa ser conversado em reunião plenária.</w:t>
      </w:r>
    </w:p>
    <w:p w14:paraId="446735B5" w14:textId="2FAFBDC7" w:rsidR="00EC0D1F" w:rsidRPr="0059027D" w:rsidRDefault="00000000" w:rsidP="0059027D">
      <w:pPr>
        <w:pStyle w:val="Heading2"/>
        <w:spacing w:line="360" w:lineRule="auto"/>
        <w:ind w:firstLine="720"/>
        <w:contextualSpacing/>
        <w:jc w:val="both"/>
        <w:rPr>
          <w:rFonts w:ascii="Times New Roman" w:hAnsi="Times New Roman" w:cs="Times New Roman"/>
          <w:b w:val="0"/>
          <w:bCs w:val="0"/>
          <w:sz w:val="24"/>
          <w:szCs w:val="24"/>
        </w:rPr>
      </w:pPr>
      <w:r w:rsidRPr="0059027D">
        <w:rPr>
          <w:rFonts w:ascii="Times New Roman" w:hAnsi="Times New Roman" w:cs="Times New Roman"/>
          <w:b w:val="0"/>
          <w:bCs w:val="0"/>
          <w:sz w:val="24"/>
          <w:szCs w:val="24"/>
        </w:rPr>
        <w:t>A recomendação é de pelo menos vinte protocolos avaliados em paralelo por dois membros do CEP, em condições de cegamento mútuo, antes de qualquer deliberação colegiada. Vinte é um piso prudente para que a estimativa de concordância tenha estabilidade mínima; CEPs com volume maior de protocolos com IA podem ampliar essa marca sem prejuízo, e CEPs com volume menor podem ir acumulando avaliações ao longo do tempo, sem prazo, até atingir essa marca.</w:t>
      </w:r>
    </w:p>
    <w:p w14:paraId="78843FAD" w14:textId="77777777" w:rsidR="0059027D" w:rsidRDefault="0059027D" w:rsidP="0059027D">
      <w:pPr>
        <w:pStyle w:val="Heading2"/>
        <w:spacing w:line="360" w:lineRule="auto"/>
        <w:contextualSpacing/>
        <w:rPr>
          <w:rFonts w:ascii="Times New Roman" w:hAnsi="Times New Roman" w:cs="Times New Roman"/>
        </w:rPr>
      </w:pPr>
    </w:p>
    <w:p w14:paraId="53864999" w14:textId="61C25D5A" w:rsidR="0059027D" w:rsidRDefault="00000000" w:rsidP="0059027D">
      <w:pPr>
        <w:pStyle w:val="Heading2"/>
        <w:spacing w:line="360" w:lineRule="auto"/>
        <w:contextualSpacing/>
        <w:rPr>
          <w:rFonts w:ascii="Times New Roman" w:hAnsi="Times New Roman" w:cs="Times New Roman"/>
        </w:rPr>
      </w:pPr>
      <w:r w:rsidRPr="0059027D">
        <w:rPr>
          <w:rFonts w:ascii="Times New Roman" w:hAnsi="Times New Roman" w:cs="Times New Roman"/>
        </w:rPr>
        <w:t>F.2.2  Distribuição empírica dos protocolos nos quatro níveis</w:t>
      </w:r>
    </w:p>
    <w:p w14:paraId="7F87E3E0" w14:textId="77777777" w:rsidR="0059027D" w:rsidRPr="0059027D" w:rsidRDefault="00000000" w:rsidP="0059027D">
      <w:pPr>
        <w:pStyle w:val="Heading2"/>
        <w:spacing w:line="360" w:lineRule="auto"/>
        <w:ind w:firstLine="720"/>
        <w:contextualSpacing/>
        <w:jc w:val="both"/>
        <w:rPr>
          <w:rFonts w:ascii="Times New Roman" w:hAnsi="Times New Roman" w:cs="Times New Roman"/>
          <w:b w:val="0"/>
          <w:bCs w:val="0"/>
          <w:sz w:val="24"/>
          <w:szCs w:val="24"/>
        </w:rPr>
      </w:pPr>
      <w:r w:rsidRPr="0059027D">
        <w:rPr>
          <w:rFonts w:ascii="Times New Roman" w:hAnsi="Times New Roman" w:cs="Times New Roman"/>
          <w:b w:val="0"/>
          <w:bCs w:val="0"/>
          <w:sz w:val="24"/>
          <w:szCs w:val="24"/>
        </w:rPr>
        <w:t xml:space="preserve">A segunda frente examina como os protocolos avaliados pelo CEP se distribuem nos quatro níveis da MARIAH. Há dois usos principais para essa informação. O primeiro é descritivo. O CEP passa a conhecer o perfil da sua casuística em pesquisa com inteligência artificial: se a maioria dos protocolos se concentra no Nível II, se há protocolos no Nível IV, se a distribuição mudou ao longo do tempo. Essa informação é insumo de planejamento institucional e de capacitação do colegiado. O segundo uso é diagnóstico. </w:t>
      </w:r>
      <w:r w:rsidR="008768D1" w:rsidRPr="0059027D">
        <w:rPr>
          <w:rFonts w:ascii="Times New Roman" w:hAnsi="Times New Roman" w:cs="Times New Roman"/>
          <w:b w:val="0"/>
          <w:bCs w:val="0"/>
          <w:sz w:val="24"/>
          <w:szCs w:val="24"/>
        </w:rPr>
        <w:t xml:space="preserve">Quando a distribuição se concentra perto de um ponto de corte da </w:t>
      </w:r>
      <w:r w:rsidR="008768D1" w:rsidRPr="0059027D">
        <w:rPr>
          <w:rFonts w:ascii="Times New Roman" w:hAnsi="Times New Roman" w:cs="Times New Roman"/>
          <w:b w:val="0"/>
          <w:bCs w:val="0"/>
          <w:sz w:val="24"/>
          <w:szCs w:val="24"/>
        </w:rPr>
        <w:lastRenderedPageBreak/>
        <w:t>Versão B, o colegiado tem evidência local de que pequenas variações na pontuação podem deslocar muitos protocolos de nível, o que justifica examinar com mais atenção os casos limítrofes</w:t>
      </w:r>
      <w:r w:rsidR="008768D1" w:rsidRPr="0059027D">
        <w:rPr>
          <w:rFonts w:ascii="Times New Roman" w:hAnsi="Times New Roman" w:cs="Times New Roman"/>
          <w:b w:val="0"/>
          <w:bCs w:val="0"/>
          <w:sz w:val="24"/>
          <w:szCs w:val="24"/>
        </w:rPr>
        <w:t>.</w:t>
      </w:r>
    </w:p>
    <w:p w14:paraId="6121D562" w14:textId="2361F1D9" w:rsidR="00EC0D1F" w:rsidRPr="0059027D" w:rsidRDefault="00000000" w:rsidP="0059027D">
      <w:pPr>
        <w:pStyle w:val="Heading2"/>
        <w:spacing w:line="360" w:lineRule="auto"/>
        <w:ind w:firstLine="720"/>
        <w:contextualSpacing/>
        <w:jc w:val="both"/>
        <w:rPr>
          <w:rFonts w:ascii="Times New Roman" w:hAnsi="Times New Roman" w:cs="Times New Roman"/>
          <w:b w:val="0"/>
          <w:bCs w:val="0"/>
          <w:sz w:val="24"/>
          <w:szCs w:val="24"/>
        </w:rPr>
      </w:pPr>
      <w:r w:rsidRPr="0059027D">
        <w:rPr>
          <w:rFonts w:ascii="Times New Roman" w:hAnsi="Times New Roman" w:cs="Times New Roman"/>
          <w:b w:val="0"/>
          <w:bCs w:val="0"/>
          <w:sz w:val="24"/>
          <w:szCs w:val="24"/>
        </w:rPr>
        <w:t>A recomendação operacional é registrar a pontuação total e a pontuação por bloco de todos os protocolos aos quais o CEP aplicar a Versão B, sem critério de inclusão específico. A planilha-modelo produz automaticamente o histograma e identifica concentrações próximas aos pontos de corte.</w:t>
      </w:r>
    </w:p>
    <w:p w14:paraId="44DD4D6C" w14:textId="77777777" w:rsidR="0059027D" w:rsidRDefault="0059027D" w:rsidP="0059027D">
      <w:pPr>
        <w:pStyle w:val="Heading2"/>
        <w:spacing w:line="360" w:lineRule="auto"/>
        <w:contextualSpacing/>
        <w:rPr>
          <w:rFonts w:ascii="Times New Roman" w:hAnsi="Times New Roman" w:cs="Times New Roman"/>
        </w:rPr>
      </w:pPr>
    </w:p>
    <w:p w14:paraId="6D0C0FCC" w14:textId="77777777" w:rsidR="0059027D" w:rsidRDefault="00000000" w:rsidP="0059027D">
      <w:pPr>
        <w:pStyle w:val="Heading2"/>
        <w:spacing w:line="360" w:lineRule="auto"/>
        <w:contextualSpacing/>
        <w:rPr>
          <w:rFonts w:ascii="Times New Roman" w:hAnsi="Times New Roman" w:cs="Times New Roman"/>
        </w:rPr>
      </w:pPr>
      <w:r w:rsidRPr="0059027D">
        <w:rPr>
          <w:rFonts w:ascii="Times New Roman" w:hAnsi="Times New Roman" w:cs="Times New Roman"/>
        </w:rPr>
        <w:t>F.2.3  Convergência entre Versões A e B no modo triagem</w:t>
      </w:r>
    </w:p>
    <w:p w14:paraId="1077BA41" w14:textId="77777777" w:rsidR="00CF61F7" w:rsidRPr="00CF61F7" w:rsidRDefault="00000000" w:rsidP="00CF61F7">
      <w:pPr>
        <w:pStyle w:val="Heading2"/>
        <w:spacing w:line="360" w:lineRule="auto"/>
        <w:ind w:firstLine="720"/>
        <w:contextualSpacing/>
        <w:jc w:val="both"/>
        <w:rPr>
          <w:rFonts w:ascii="Times New Roman" w:hAnsi="Times New Roman" w:cs="Times New Roman"/>
          <w:b w:val="0"/>
          <w:bCs w:val="0"/>
          <w:sz w:val="24"/>
          <w:szCs w:val="24"/>
        </w:rPr>
      </w:pPr>
      <w:r w:rsidRPr="00CF61F7">
        <w:rPr>
          <w:rFonts w:ascii="Times New Roman" w:hAnsi="Times New Roman" w:cs="Times New Roman"/>
          <w:b w:val="0"/>
          <w:bCs w:val="0"/>
          <w:sz w:val="24"/>
          <w:szCs w:val="24"/>
        </w:rPr>
        <w:t xml:space="preserve">A terceira frente examina se a Versão A e a Versão B, aplicadas ao mesmo protocolo no modo triagem previsto pelo Capítulo 7, convergem para a mesma classificação de risco. Quando o CEP usa rotineiramente o modo triagem </w:t>
      </w:r>
      <w:r w:rsidR="008768D1" w:rsidRPr="00CF61F7">
        <w:rPr>
          <w:rFonts w:ascii="Times New Roman" w:hAnsi="Times New Roman" w:cs="Times New Roman"/>
          <w:b w:val="0"/>
          <w:bCs w:val="0"/>
          <w:sz w:val="24"/>
          <w:szCs w:val="24"/>
        </w:rPr>
        <w:t>(</w:t>
      </w:r>
      <w:r w:rsidRPr="00CF61F7">
        <w:rPr>
          <w:rFonts w:ascii="Times New Roman" w:hAnsi="Times New Roman" w:cs="Times New Roman"/>
          <w:b w:val="0"/>
          <w:bCs w:val="0"/>
          <w:sz w:val="24"/>
          <w:szCs w:val="24"/>
        </w:rPr>
        <w:t>Versão A como filtro inicial e Versão B em casos de Nível III ou Nível IV</w:t>
      </w:r>
      <w:r w:rsidR="008768D1" w:rsidRPr="00CF61F7">
        <w:rPr>
          <w:rFonts w:ascii="Times New Roman" w:hAnsi="Times New Roman" w:cs="Times New Roman"/>
          <w:b w:val="0"/>
          <w:bCs w:val="0"/>
          <w:sz w:val="24"/>
          <w:szCs w:val="24"/>
        </w:rPr>
        <w:t>)</w:t>
      </w:r>
      <w:r w:rsidRPr="00CF61F7">
        <w:rPr>
          <w:rFonts w:ascii="Times New Roman" w:hAnsi="Times New Roman" w:cs="Times New Roman"/>
          <w:b w:val="0"/>
          <w:bCs w:val="0"/>
          <w:sz w:val="24"/>
          <w:szCs w:val="24"/>
        </w:rPr>
        <w:t xml:space="preserve"> basta registrar as duas classificações em paralelo. Discordâncias sistemáticas entre as duas versões, quando ocorrem, são informação valiosa: ou indicam que o CEP está lendo de modo inconsistente as duas versões, ou indicam que as duas versões captam dimensões diferentes do risco no protocolo. Em ambos os casos, o colegiado tem material concreto para discutir e, se for o caso, reportar ao Grupo de Trabalho.</w:t>
      </w:r>
    </w:p>
    <w:p w14:paraId="609BD020" w14:textId="77777777" w:rsidR="00CF61F7" w:rsidRPr="00CF61F7" w:rsidRDefault="00CF61F7" w:rsidP="00CF61F7">
      <w:pPr>
        <w:pStyle w:val="Heading2"/>
        <w:spacing w:line="360" w:lineRule="auto"/>
        <w:contextualSpacing/>
        <w:jc w:val="both"/>
        <w:rPr>
          <w:rFonts w:ascii="Times New Roman" w:hAnsi="Times New Roman" w:cs="Times New Roman"/>
          <w:b w:val="0"/>
          <w:bCs w:val="0"/>
          <w:sz w:val="24"/>
          <w:szCs w:val="24"/>
        </w:rPr>
      </w:pPr>
    </w:p>
    <w:p w14:paraId="05350FC3" w14:textId="77777777" w:rsidR="00CF61F7" w:rsidRPr="00CF61F7" w:rsidRDefault="00000000" w:rsidP="00CF61F7">
      <w:pPr>
        <w:pStyle w:val="Heading2"/>
        <w:spacing w:line="360" w:lineRule="auto"/>
        <w:contextualSpacing/>
        <w:jc w:val="both"/>
        <w:rPr>
          <w:rFonts w:ascii="Times New Roman" w:hAnsi="Times New Roman" w:cs="Times New Roman"/>
          <w:sz w:val="24"/>
          <w:szCs w:val="24"/>
        </w:rPr>
      </w:pPr>
      <w:r w:rsidRPr="00CF61F7">
        <w:rPr>
          <w:rFonts w:ascii="Times New Roman" w:hAnsi="Times New Roman" w:cs="Times New Roman"/>
          <w:sz w:val="24"/>
          <w:szCs w:val="24"/>
        </w:rPr>
        <w:t>F.3  Como conduzir cada frente</w:t>
      </w:r>
    </w:p>
    <w:p w14:paraId="2AA9A82C" w14:textId="77777777" w:rsidR="00CF61F7" w:rsidRPr="00CF61F7" w:rsidRDefault="00000000" w:rsidP="00CF61F7">
      <w:pPr>
        <w:pStyle w:val="Heading2"/>
        <w:spacing w:line="360" w:lineRule="auto"/>
        <w:ind w:firstLine="720"/>
        <w:contextualSpacing/>
        <w:jc w:val="both"/>
        <w:rPr>
          <w:rFonts w:ascii="Times New Roman" w:hAnsi="Times New Roman" w:cs="Times New Roman"/>
          <w:b w:val="0"/>
          <w:bCs w:val="0"/>
          <w:sz w:val="24"/>
          <w:szCs w:val="24"/>
        </w:rPr>
      </w:pPr>
      <w:r w:rsidRPr="00CF61F7">
        <w:rPr>
          <w:rFonts w:ascii="Times New Roman" w:hAnsi="Times New Roman" w:cs="Times New Roman"/>
          <w:b w:val="0"/>
          <w:bCs w:val="0"/>
          <w:sz w:val="24"/>
          <w:szCs w:val="24"/>
        </w:rPr>
        <w:t>O roteiro a seguir cobre as três frentes em um único fluxo. Cada CEP adapta o fluxo à sua dinâmica.</w:t>
      </w:r>
    </w:p>
    <w:p w14:paraId="37F5B9D0" w14:textId="11537DC4" w:rsidR="00CF61F7" w:rsidRPr="00CF61F7" w:rsidRDefault="00000000" w:rsidP="00CF61F7">
      <w:pPr>
        <w:pStyle w:val="Heading2"/>
        <w:spacing w:line="360" w:lineRule="auto"/>
        <w:ind w:firstLine="720"/>
        <w:contextualSpacing/>
        <w:jc w:val="both"/>
        <w:rPr>
          <w:rFonts w:ascii="Times New Roman" w:hAnsi="Times New Roman" w:cs="Times New Roman"/>
          <w:b w:val="0"/>
          <w:bCs w:val="0"/>
          <w:sz w:val="24"/>
          <w:szCs w:val="24"/>
        </w:rPr>
      </w:pPr>
      <w:r w:rsidRPr="00CF61F7">
        <w:rPr>
          <w:rFonts w:ascii="Times New Roman" w:hAnsi="Times New Roman" w:cs="Times New Roman"/>
          <w:b w:val="0"/>
          <w:bCs w:val="0"/>
          <w:sz w:val="24"/>
          <w:szCs w:val="24"/>
        </w:rPr>
        <w:t>O primeiro passo é definir o período de coleta. Pode ser um trimestre, um semestre ou aberto. O importante é o CEP saber que, durante esse período, os protocolos com inteligência artificial recebidos serão objeto também do exercício de validação, em paralelo ao parecer ordinário. A coleta não altera o fluxo do parecer institucional</w:t>
      </w:r>
      <w:r w:rsidR="00640741">
        <w:rPr>
          <w:rFonts w:ascii="Times New Roman" w:hAnsi="Times New Roman" w:cs="Times New Roman"/>
          <w:b w:val="0"/>
          <w:bCs w:val="0"/>
          <w:sz w:val="24"/>
          <w:szCs w:val="24"/>
        </w:rPr>
        <w:t xml:space="preserve"> do SINEP</w:t>
      </w:r>
      <w:r w:rsidRPr="00CF61F7">
        <w:rPr>
          <w:rFonts w:ascii="Times New Roman" w:hAnsi="Times New Roman" w:cs="Times New Roman"/>
          <w:b w:val="0"/>
          <w:bCs w:val="0"/>
          <w:sz w:val="24"/>
          <w:szCs w:val="24"/>
        </w:rPr>
        <w:t>.</w:t>
      </w:r>
    </w:p>
    <w:p w14:paraId="083790F9" w14:textId="77777777" w:rsidR="00CF61F7" w:rsidRPr="00CF61F7" w:rsidRDefault="00000000" w:rsidP="00CF61F7">
      <w:pPr>
        <w:pStyle w:val="Heading2"/>
        <w:spacing w:line="360" w:lineRule="auto"/>
        <w:contextualSpacing/>
        <w:jc w:val="both"/>
        <w:rPr>
          <w:rFonts w:ascii="Times New Roman" w:hAnsi="Times New Roman" w:cs="Times New Roman"/>
          <w:b w:val="0"/>
          <w:bCs w:val="0"/>
          <w:sz w:val="24"/>
          <w:szCs w:val="24"/>
        </w:rPr>
      </w:pPr>
      <w:r w:rsidRPr="00CF61F7">
        <w:rPr>
          <w:rFonts w:ascii="Times New Roman" w:hAnsi="Times New Roman" w:cs="Times New Roman"/>
          <w:b w:val="0"/>
          <w:bCs w:val="0"/>
          <w:sz w:val="24"/>
          <w:szCs w:val="24"/>
        </w:rPr>
        <w:t>O segundo passo é constituir a dupla ou trio de avaliadores. A recomendação é que pelo menos dois membros do colegiado apliquem a Versão A de forma independente, sem consulta prévia entre si, e que um terceiro membro aplique a Versão B em separado. Avaliadores podem se revezar a cada protocolo; o que importa é a independência da aplicação dentro de cada protocolo. Não é necessário que o avaliador da Versão B seja o relator do parecer institucional.</w:t>
      </w:r>
    </w:p>
    <w:p w14:paraId="266ABF4D" w14:textId="77777777" w:rsidR="00CF61F7" w:rsidRPr="00CF61F7" w:rsidRDefault="00000000" w:rsidP="00640741">
      <w:pPr>
        <w:pStyle w:val="Heading2"/>
        <w:spacing w:line="360" w:lineRule="auto"/>
        <w:ind w:firstLine="720"/>
        <w:contextualSpacing/>
        <w:jc w:val="both"/>
        <w:rPr>
          <w:rFonts w:ascii="Times New Roman" w:hAnsi="Times New Roman" w:cs="Times New Roman"/>
          <w:b w:val="0"/>
          <w:bCs w:val="0"/>
          <w:sz w:val="24"/>
          <w:szCs w:val="24"/>
        </w:rPr>
      </w:pPr>
      <w:r w:rsidRPr="00CF61F7">
        <w:rPr>
          <w:rFonts w:ascii="Times New Roman" w:hAnsi="Times New Roman" w:cs="Times New Roman"/>
          <w:b w:val="0"/>
          <w:bCs w:val="0"/>
          <w:sz w:val="24"/>
          <w:szCs w:val="24"/>
        </w:rPr>
        <w:t xml:space="preserve">O terceiro passo é registrar as avaliações na planilha-modelo. A planilha tem aba específica para cada frente. Cada protocolo recebe um identificador interno do CEP que dispensa qualquer </w:t>
      </w:r>
      <w:r w:rsidRPr="00CF61F7">
        <w:rPr>
          <w:rFonts w:ascii="Times New Roman" w:hAnsi="Times New Roman" w:cs="Times New Roman"/>
          <w:b w:val="0"/>
          <w:bCs w:val="0"/>
          <w:sz w:val="24"/>
          <w:szCs w:val="24"/>
        </w:rPr>
        <w:lastRenderedPageBreak/>
        <w:t>informação que permita identificar pesquisador, instituição proponente ou patrocinador. A planilha não pede esses dados. O registro mínimo é o identificador, a data e as respostas dos avaliadores nas perguntas da matriz. As fórmulas calculam a classificação consolidada, a pontuação total e os indicadores agregados das três frentes.</w:t>
      </w:r>
    </w:p>
    <w:p w14:paraId="34400538" w14:textId="79C8C642" w:rsidR="00EC0D1F" w:rsidRPr="00CF61F7" w:rsidRDefault="00000000" w:rsidP="00CF61F7">
      <w:pPr>
        <w:pStyle w:val="Heading2"/>
        <w:spacing w:line="360" w:lineRule="auto"/>
        <w:ind w:firstLine="720"/>
        <w:contextualSpacing/>
        <w:jc w:val="both"/>
        <w:rPr>
          <w:rFonts w:ascii="Times New Roman" w:hAnsi="Times New Roman" w:cs="Times New Roman"/>
          <w:b w:val="0"/>
          <w:bCs w:val="0"/>
          <w:sz w:val="24"/>
          <w:szCs w:val="24"/>
        </w:rPr>
      </w:pPr>
      <w:r w:rsidRPr="00CF61F7">
        <w:rPr>
          <w:rFonts w:ascii="Times New Roman" w:hAnsi="Times New Roman" w:cs="Times New Roman"/>
          <w:b w:val="0"/>
          <w:bCs w:val="0"/>
          <w:sz w:val="24"/>
          <w:szCs w:val="24"/>
        </w:rPr>
        <w:t>O quarto passo é a deliberação colegiada sobre os achados. Recomenda-se reunião dedicada, ao final do período de coleta ou periodicamente durante ele, para que o colegiado discuta o que os indicadores estão mostrando. A planilha gera um painel-resumo que apoia essa discussão. A deliberação é o ponto central do exercício; os números são insumo, não conclusão.</w:t>
      </w:r>
    </w:p>
    <w:p w14:paraId="079A321F" w14:textId="77777777" w:rsidR="00640741" w:rsidRPr="00640741" w:rsidRDefault="00000000" w:rsidP="00640741">
      <w:pPr>
        <w:pStyle w:val="Heading1"/>
        <w:spacing w:line="360" w:lineRule="auto"/>
        <w:contextualSpacing/>
        <w:jc w:val="both"/>
        <w:rPr>
          <w:rFonts w:ascii="Times New Roman" w:hAnsi="Times New Roman" w:cs="Times New Roman"/>
          <w:sz w:val="24"/>
          <w:szCs w:val="24"/>
        </w:rPr>
      </w:pPr>
      <w:r w:rsidRPr="00640741">
        <w:rPr>
          <w:rFonts w:ascii="Times New Roman" w:hAnsi="Times New Roman" w:cs="Times New Roman"/>
          <w:sz w:val="24"/>
          <w:szCs w:val="24"/>
        </w:rPr>
        <w:t>F.4  Como interpretar os achados</w:t>
      </w:r>
    </w:p>
    <w:p w14:paraId="7DEBC8D6" w14:textId="77777777" w:rsidR="00640741" w:rsidRPr="00640741" w:rsidRDefault="00000000" w:rsidP="00640741">
      <w:pPr>
        <w:pStyle w:val="Heading1"/>
        <w:spacing w:line="360" w:lineRule="auto"/>
        <w:ind w:firstLine="720"/>
        <w:contextualSpacing/>
        <w:jc w:val="both"/>
        <w:rPr>
          <w:rFonts w:ascii="Times New Roman" w:hAnsi="Times New Roman" w:cs="Times New Roman"/>
          <w:b w:val="0"/>
          <w:bCs w:val="0"/>
          <w:sz w:val="24"/>
          <w:szCs w:val="24"/>
        </w:rPr>
      </w:pPr>
      <w:r w:rsidRPr="00640741">
        <w:rPr>
          <w:rFonts w:ascii="Times New Roman" w:hAnsi="Times New Roman" w:cs="Times New Roman"/>
          <w:b w:val="0"/>
          <w:bCs w:val="0"/>
          <w:sz w:val="24"/>
          <w:szCs w:val="24"/>
        </w:rPr>
        <w:t>A interpretação dos achados não exige conhecimento estatístico avançado. Para as três frentes propostas, três leituras básicas bastam.</w:t>
      </w:r>
    </w:p>
    <w:p w14:paraId="66B8EAB3" w14:textId="61AE7C84" w:rsidR="00EC0D1F" w:rsidRPr="00640741" w:rsidRDefault="00000000" w:rsidP="00640741">
      <w:pPr>
        <w:pStyle w:val="Heading1"/>
        <w:spacing w:line="360" w:lineRule="auto"/>
        <w:ind w:firstLine="720"/>
        <w:contextualSpacing/>
        <w:jc w:val="both"/>
        <w:rPr>
          <w:rFonts w:ascii="Times New Roman" w:hAnsi="Times New Roman" w:cs="Times New Roman"/>
          <w:b w:val="0"/>
          <w:bCs w:val="0"/>
          <w:sz w:val="24"/>
          <w:szCs w:val="24"/>
        </w:rPr>
      </w:pPr>
      <w:r w:rsidRPr="00640741">
        <w:rPr>
          <w:rFonts w:ascii="Times New Roman" w:hAnsi="Times New Roman" w:cs="Times New Roman"/>
          <w:b w:val="0"/>
          <w:bCs w:val="0"/>
          <w:sz w:val="24"/>
          <w:szCs w:val="24"/>
        </w:rPr>
        <w:t>Para a frente de concordância entre avaliadores, o indicador principal é a estatística kappa de Cohen, calculada automaticamente pela planilha. A Tabela F.1 oferece a leitura prática dos valores observados. O colegiado lê o valor de kappa por eixo da Versão A e por classificação consolidada, identifica os eixos com kappa baixo e discute, em plenária, os casos de discordância naqueles eixos.</w:t>
      </w:r>
    </w:p>
    <w:p w14:paraId="5F10B755" w14:textId="77777777" w:rsidR="00EC0D1F" w:rsidRPr="0059027D" w:rsidRDefault="00000000" w:rsidP="0059027D">
      <w:pPr>
        <w:spacing w:before="120" w:after="80" w:line="360" w:lineRule="auto"/>
        <w:contextualSpacing/>
        <w:rPr>
          <w:rFonts w:ascii="Times New Roman" w:hAnsi="Times New Roman" w:cs="Times New Roman"/>
        </w:rPr>
      </w:pPr>
      <w:r w:rsidRPr="0059027D">
        <w:rPr>
          <w:rFonts w:ascii="Times New Roman" w:hAnsi="Times New Roman" w:cs="Times New Roman"/>
          <w:b/>
          <w:bCs/>
        </w:rPr>
        <w:t>Tabela F.1  Leitura prática dos valores de kappa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EC0D1F" w:rsidRPr="0059027D" w14:paraId="37C77CD9" w14:textId="77777777">
        <w:tblPrEx>
          <w:tblCellMar>
            <w:top w:w="0" w:type="dxa"/>
            <w:bottom w:w="0" w:type="dxa"/>
          </w:tblCellMar>
        </w:tblPrEx>
        <w:trPr>
          <w:tblHeader/>
        </w:trPr>
        <w:tc>
          <w:tcPr>
            <w:tcW w:w="234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1F561DB5" w14:textId="77777777" w:rsidR="00EC0D1F" w:rsidRPr="0059027D" w:rsidRDefault="00000000" w:rsidP="0059027D">
            <w:pPr>
              <w:spacing w:line="360" w:lineRule="auto"/>
              <w:contextualSpacing/>
              <w:rPr>
                <w:rFonts w:ascii="Times New Roman" w:hAnsi="Times New Roman" w:cs="Times New Roman"/>
              </w:rPr>
            </w:pPr>
            <w:r w:rsidRPr="0059027D">
              <w:rPr>
                <w:rFonts w:ascii="Times New Roman" w:hAnsi="Times New Roman" w:cs="Times New Roman"/>
                <w:b/>
                <w:bCs/>
                <w:sz w:val="20"/>
                <w:szCs w:val="20"/>
              </w:rPr>
              <w:t>Valor de kappa</w:t>
            </w:r>
          </w:p>
        </w:tc>
        <w:tc>
          <w:tcPr>
            <w:tcW w:w="702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45BE7CD3" w14:textId="77777777" w:rsidR="00EC0D1F" w:rsidRPr="0059027D" w:rsidRDefault="00000000" w:rsidP="0059027D">
            <w:pPr>
              <w:spacing w:line="360" w:lineRule="auto"/>
              <w:contextualSpacing/>
              <w:rPr>
                <w:rFonts w:ascii="Times New Roman" w:hAnsi="Times New Roman" w:cs="Times New Roman"/>
              </w:rPr>
            </w:pPr>
            <w:r w:rsidRPr="0059027D">
              <w:rPr>
                <w:rFonts w:ascii="Times New Roman" w:hAnsi="Times New Roman" w:cs="Times New Roman"/>
                <w:b/>
                <w:bCs/>
                <w:sz w:val="20"/>
                <w:szCs w:val="20"/>
              </w:rPr>
              <w:t>Leitura prática</w:t>
            </w:r>
          </w:p>
        </w:tc>
      </w:tr>
      <w:tr w:rsidR="00EC0D1F" w:rsidRPr="0059027D" w14:paraId="18074D75" w14:textId="77777777">
        <w:tblPrEx>
          <w:tblCellMar>
            <w:top w:w="0" w:type="dxa"/>
            <w:bottom w:w="0" w:type="dxa"/>
          </w:tblCellMar>
        </w:tblPrEx>
        <w:tc>
          <w:tcPr>
            <w:tcW w:w="234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B0D74A2" w14:textId="77777777" w:rsidR="00EC0D1F" w:rsidRPr="0059027D" w:rsidRDefault="00000000" w:rsidP="0059027D">
            <w:pPr>
              <w:spacing w:line="360" w:lineRule="auto"/>
              <w:contextualSpacing/>
              <w:rPr>
                <w:rFonts w:ascii="Times New Roman" w:hAnsi="Times New Roman" w:cs="Times New Roman"/>
              </w:rPr>
            </w:pPr>
            <w:r w:rsidRPr="0059027D">
              <w:rPr>
                <w:rFonts w:ascii="Times New Roman" w:hAnsi="Times New Roman" w:cs="Times New Roman"/>
                <w:sz w:val="20"/>
                <w:szCs w:val="20"/>
              </w:rPr>
              <w:t>Abaixo de 0,40</w:t>
            </w:r>
          </w:p>
        </w:tc>
        <w:tc>
          <w:tcPr>
            <w:tcW w:w="702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E4068F5" w14:textId="77777777" w:rsidR="00EC0D1F" w:rsidRPr="0059027D" w:rsidRDefault="00000000" w:rsidP="0059027D">
            <w:pPr>
              <w:spacing w:line="360" w:lineRule="auto"/>
              <w:contextualSpacing/>
              <w:rPr>
                <w:rFonts w:ascii="Times New Roman" w:hAnsi="Times New Roman" w:cs="Times New Roman"/>
              </w:rPr>
            </w:pPr>
            <w:r w:rsidRPr="0059027D">
              <w:rPr>
                <w:rFonts w:ascii="Times New Roman" w:hAnsi="Times New Roman" w:cs="Times New Roman"/>
                <w:sz w:val="20"/>
                <w:szCs w:val="20"/>
              </w:rPr>
              <w:t>Concordância insuficiente. O eixo ou bloco merece revisão pelo colegiado: as perguntas estão sendo lidas de modo divergente, e isso é informação valiosa para discutir em plenária.</w:t>
            </w:r>
          </w:p>
        </w:tc>
      </w:tr>
      <w:tr w:rsidR="00EC0D1F" w:rsidRPr="0059027D" w14:paraId="70731912" w14:textId="77777777">
        <w:tblPrEx>
          <w:tblCellMar>
            <w:top w:w="0" w:type="dxa"/>
            <w:bottom w:w="0" w:type="dxa"/>
          </w:tblCellMar>
        </w:tblPrEx>
        <w:tc>
          <w:tcPr>
            <w:tcW w:w="234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B333BCC" w14:textId="77777777" w:rsidR="00EC0D1F" w:rsidRPr="0059027D" w:rsidRDefault="00000000" w:rsidP="0059027D">
            <w:pPr>
              <w:spacing w:line="360" w:lineRule="auto"/>
              <w:contextualSpacing/>
              <w:rPr>
                <w:rFonts w:ascii="Times New Roman" w:hAnsi="Times New Roman" w:cs="Times New Roman"/>
              </w:rPr>
            </w:pPr>
            <w:r w:rsidRPr="0059027D">
              <w:rPr>
                <w:rFonts w:ascii="Times New Roman" w:hAnsi="Times New Roman" w:cs="Times New Roman"/>
                <w:sz w:val="20"/>
                <w:szCs w:val="20"/>
              </w:rPr>
              <w:t>Entre 0,40 e 0,60</w:t>
            </w:r>
          </w:p>
        </w:tc>
        <w:tc>
          <w:tcPr>
            <w:tcW w:w="702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789E717" w14:textId="1A64E0F0" w:rsidR="00EC0D1F" w:rsidRPr="0059027D" w:rsidRDefault="00000000" w:rsidP="0059027D">
            <w:pPr>
              <w:spacing w:line="360" w:lineRule="auto"/>
              <w:contextualSpacing/>
              <w:rPr>
                <w:rFonts w:ascii="Times New Roman" w:hAnsi="Times New Roman" w:cs="Times New Roman"/>
              </w:rPr>
            </w:pPr>
            <w:r w:rsidRPr="0059027D">
              <w:rPr>
                <w:rFonts w:ascii="Times New Roman" w:hAnsi="Times New Roman" w:cs="Times New Roman"/>
                <w:sz w:val="20"/>
                <w:szCs w:val="20"/>
              </w:rPr>
              <w:t>Concordância moderada. Identifique os casos de discordância e use-os como pauta de reunião</w:t>
            </w:r>
            <w:r w:rsidR="003C2BBA">
              <w:rPr>
                <w:rFonts w:ascii="Times New Roman" w:hAnsi="Times New Roman" w:cs="Times New Roman"/>
                <w:sz w:val="20"/>
                <w:szCs w:val="20"/>
              </w:rPr>
              <w:t>, porque</w:t>
            </w:r>
            <w:r w:rsidRPr="0059027D">
              <w:rPr>
                <w:rFonts w:ascii="Times New Roman" w:hAnsi="Times New Roman" w:cs="Times New Roman"/>
                <w:sz w:val="20"/>
                <w:szCs w:val="20"/>
              </w:rPr>
              <w:t xml:space="preserve"> são exatamente os casos limítrofes que o Cap. 9 trata como formadores do comitê.</w:t>
            </w:r>
          </w:p>
        </w:tc>
      </w:tr>
      <w:tr w:rsidR="00EC0D1F" w:rsidRPr="0059027D" w14:paraId="33EC6E11" w14:textId="77777777">
        <w:tblPrEx>
          <w:tblCellMar>
            <w:top w:w="0" w:type="dxa"/>
            <w:bottom w:w="0" w:type="dxa"/>
          </w:tblCellMar>
        </w:tblPrEx>
        <w:tc>
          <w:tcPr>
            <w:tcW w:w="234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A95BED4" w14:textId="77777777" w:rsidR="00EC0D1F" w:rsidRPr="0059027D" w:rsidRDefault="00000000" w:rsidP="0059027D">
            <w:pPr>
              <w:spacing w:line="360" w:lineRule="auto"/>
              <w:contextualSpacing/>
              <w:rPr>
                <w:rFonts w:ascii="Times New Roman" w:hAnsi="Times New Roman" w:cs="Times New Roman"/>
              </w:rPr>
            </w:pPr>
            <w:r w:rsidRPr="0059027D">
              <w:rPr>
                <w:rFonts w:ascii="Times New Roman" w:hAnsi="Times New Roman" w:cs="Times New Roman"/>
                <w:sz w:val="20"/>
                <w:szCs w:val="20"/>
              </w:rPr>
              <w:t>Entre 0,60 e 0,80</w:t>
            </w:r>
          </w:p>
        </w:tc>
        <w:tc>
          <w:tcPr>
            <w:tcW w:w="702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DC68516" w14:textId="77777777" w:rsidR="00EC0D1F" w:rsidRPr="0059027D" w:rsidRDefault="00000000" w:rsidP="0059027D">
            <w:pPr>
              <w:spacing w:line="360" w:lineRule="auto"/>
              <w:contextualSpacing/>
              <w:rPr>
                <w:rFonts w:ascii="Times New Roman" w:hAnsi="Times New Roman" w:cs="Times New Roman"/>
              </w:rPr>
            </w:pPr>
            <w:r w:rsidRPr="0059027D">
              <w:rPr>
                <w:rFonts w:ascii="Times New Roman" w:hAnsi="Times New Roman" w:cs="Times New Roman"/>
                <w:sz w:val="20"/>
                <w:szCs w:val="20"/>
              </w:rPr>
              <w:t>Concordância substancial. A aplicação está consistente. Pequenas discordâncias residuais são esperadas e saudáveis.</w:t>
            </w:r>
          </w:p>
        </w:tc>
      </w:tr>
      <w:tr w:rsidR="00EC0D1F" w:rsidRPr="0059027D" w14:paraId="02504E0A" w14:textId="77777777">
        <w:tblPrEx>
          <w:tblCellMar>
            <w:top w:w="0" w:type="dxa"/>
            <w:bottom w:w="0" w:type="dxa"/>
          </w:tblCellMar>
        </w:tblPrEx>
        <w:tc>
          <w:tcPr>
            <w:tcW w:w="234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0474A2F" w14:textId="77777777" w:rsidR="00EC0D1F" w:rsidRPr="0059027D" w:rsidRDefault="00000000" w:rsidP="0059027D">
            <w:pPr>
              <w:spacing w:line="360" w:lineRule="auto"/>
              <w:contextualSpacing/>
              <w:rPr>
                <w:rFonts w:ascii="Times New Roman" w:hAnsi="Times New Roman" w:cs="Times New Roman"/>
              </w:rPr>
            </w:pPr>
            <w:r w:rsidRPr="0059027D">
              <w:rPr>
                <w:rFonts w:ascii="Times New Roman" w:hAnsi="Times New Roman" w:cs="Times New Roman"/>
                <w:sz w:val="20"/>
                <w:szCs w:val="20"/>
              </w:rPr>
              <w:t>0,80 ou acima</w:t>
            </w:r>
          </w:p>
        </w:tc>
        <w:tc>
          <w:tcPr>
            <w:tcW w:w="702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9F5B5E8" w14:textId="77777777" w:rsidR="00EC0D1F" w:rsidRPr="0059027D" w:rsidRDefault="00000000" w:rsidP="0059027D">
            <w:pPr>
              <w:spacing w:line="360" w:lineRule="auto"/>
              <w:contextualSpacing/>
              <w:rPr>
                <w:rFonts w:ascii="Times New Roman" w:hAnsi="Times New Roman" w:cs="Times New Roman"/>
              </w:rPr>
            </w:pPr>
            <w:r w:rsidRPr="0059027D">
              <w:rPr>
                <w:rFonts w:ascii="Times New Roman" w:hAnsi="Times New Roman" w:cs="Times New Roman"/>
                <w:sz w:val="20"/>
                <w:szCs w:val="20"/>
              </w:rPr>
              <w:t>Concordância quase perfeita. A aplicação está estabilizada. Cuidado, porém: kappas muito altos em todos os eixos podem indicar que os avaliadores estão deliberando entre si antes de registrar as respostas, o que esvazia o exercício.</w:t>
            </w:r>
          </w:p>
        </w:tc>
      </w:tr>
    </w:tbl>
    <w:p w14:paraId="5DCE976B" w14:textId="77777777" w:rsidR="00EC0D1F" w:rsidRPr="0059027D" w:rsidRDefault="00000000" w:rsidP="0059027D">
      <w:pPr>
        <w:spacing w:after="200" w:line="360" w:lineRule="auto"/>
        <w:contextualSpacing/>
        <w:rPr>
          <w:rFonts w:ascii="Times New Roman" w:hAnsi="Times New Roman" w:cs="Times New Roman"/>
        </w:rPr>
      </w:pPr>
      <w:r w:rsidRPr="0059027D">
        <w:rPr>
          <w:rFonts w:ascii="Times New Roman" w:hAnsi="Times New Roman" w:cs="Times New Roman"/>
          <w:i/>
          <w:iCs/>
          <w:sz w:val="18"/>
          <w:szCs w:val="18"/>
        </w:rPr>
        <w:t>Fonte: Adaptado de Landis e Koch (1977).</w:t>
      </w:r>
    </w:p>
    <w:p w14:paraId="5993D025" w14:textId="10F55CC4" w:rsidR="00EC0D1F" w:rsidRPr="0059027D" w:rsidRDefault="00000000" w:rsidP="00640741">
      <w:pPr>
        <w:spacing w:after="160" w:line="360" w:lineRule="auto"/>
        <w:ind w:firstLine="720"/>
        <w:contextualSpacing/>
        <w:jc w:val="both"/>
        <w:rPr>
          <w:rFonts w:ascii="Times New Roman" w:hAnsi="Times New Roman" w:cs="Times New Roman"/>
        </w:rPr>
      </w:pPr>
      <w:r w:rsidRPr="0059027D">
        <w:rPr>
          <w:rFonts w:ascii="Times New Roman" w:hAnsi="Times New Roman" w:cs="Times New Roman"/>
        </w:rPr>
        <w:lastRenderedPageBreak/>
        <w:t xml:space="preserve">Para a frente de distribuição empírica, a leitura é visual. </w:t>
      </w:r>
      <w:r w:rsidR="00640741">
        <w:rPr>
          <w:rFonts w:ascii="Times New Roman" w:hAnsi="Times New Roman" w:cs="Times New Roman"/>
        </w:rPr>
        <w:t xml:space="preserve">O colegiado analisa o histograma da planilha para verificar a concentração de protocolos em algum nível, a proximidade com os pontos de corte e a presença de bimodalidade (dois picos separados por um vale). </w:t>
      </w:r>
      <w:r w:rsidRPr="0059027D">
        <w:rPr>
          <w:rFonts w:ascii="Times New Roman" w:hAnsi="Times New Roman" w:cs="Times New Roman"/>
        </w:rPr>
        <w:t>Concentração próxima aos pontos de corte é alerta de que pequenas variações na aplicação da matriz produzem mudanças de nível. Bimodalidade marcada é evidência local de que o ponto de corte natural na casuística do CEP pode diferir do ponto teórico vigente.</w:t>
      </w:r>
    </w:p>
    <w:p w14:paraId="5761A165" w14:textId="77777777" w:rsidR="00640741" w:rsidRDefault="00640741" w:rsidP="00640741">
      <w:pPr>
        <w:spacing w:after="160" w:line="360" w:lineRule="auto"/>
        <w:ind w:firstLine="720"/>
        <w:contextualSpacing/>
        <w:jc w:val="both"/>
        <w:rPr>
          <w:rFonts w:ascii="Times New Roman" w:hAnsi="Times New Roman" w:cs="Times New Roman"/>
        </w:rPr>
      </w:pPr>
      <w:r>
        <w:rPr>
          <w:rFonts w:ascii="Times New Roman" w:hAnsi="Times New Roman" w:cs="Times New Roman"/>
        </w:rPr>
        <w:t>A leitura é tabular para a frente de convergência entre versões. A planilha gera uma tabela de contingência quatro por quatro que cruza as classificações da Versão A e da Versão B no modo triagem.  Alta convergência ocorre quando a diagonal principal concentra mais de oitenta por cento dos protocolos.  Padrões de discordância, que exigem exame qualitativo dos protocolos correspondentes, surgem quando há concentração em pares específicos fora da diagonal, como Nível II na Versão A e Nível III na Versão B.</w:t>
      </w:r>
    </w:p>
    <w:p w14:paraId="51CA182C" w14:textId="308AC984" w:rsidR="00EC0D1F" w:rsidRPr="00640741" w:rsidRDefault="00000000" w:rsidP="00640741">
      <w:pPr>
        <w:spacing w:after="160" w:line="360" w:lineRule="auto"/>
        <w:ind w:firstLine="720"/>
        <w:contextualSpacing/>
        <w:jc w:val="both"/>
        <w:rPr>
          <w:rFonts w:ascii="Times New Roman" w:hAnsi="Times New Roman" w:cs="Times New Roman"/>
          <w:sz w:val="24"/>
          <w:szCs w:val="24"/>
        </w:rPr>
      </w:pPr>
      <w:r w:rsidRPr="00640741">
        <w:rPr>
          <w:rFonts w:ascii="Times New Roman" w:hAnsi="Times New Roman" w:cs="Times New Roman"/>
          <w:sz w:val="24"/>
          <w:szCs w:val="24"/>
        </w:rPr>
        <w:t>A planilha não impõe interpretação ao colegiado. Os indicadores são apresentados com leitura sugerida, mas a deliberação sobre o que fazer com eles é decisão institucional do CEP.</w:t>
      </w:r>
    </w:p>
    <w:p w14:paraId="4B21B3A3" w14:textId="77777777" w:rsidR="00640741" w:rsidRDefault="00000000" w:rsidP="00640741">
      <w:pPr>
        <w:pStyle w:val="Heading1"/>
        <w:spacing w:line="360" w:lineRule="auto"/>
        <w:contextualSpacing/>
        <w:rPr>
          <w:rFonts w:ascii="Times New Roman" w:hAnsi="Times New Roman" w:cs="Times New Roman"/>
          <w:sz w:val="24"/>
          <w:szCs w:val="24"/>
        </w:rPr>
      </w:pPr>
      <w:r w:rsidRPr="00640741">
        <w:rPr>
          <w:rFonts w:ascii="Times New Roman" w:hAnsi="Times New Roman" w:cs="Times New Roman"/>
          <w:sz w:val="24"/>
          <w:szCs w:val="24"/>
        </w:rPr>
        <w:t>F.5  Quando e como compartilhar resultados com o Grupo de Trabalho</w:t>
      </w:r>
    </w:p>
    <w:p w14:paraId="2EACA152" w14:textId="6AD13706" w:rsidR="00640741" w:rsidRPr="00640741" w:rsidRDefault="00000000" w:rsidP="003C2BBA">
      <w:pPr>
        <w:pStyle w:val="Heading1"/>
        <w:spacing w:line="360" w:lineRule="auto"/>
        <w:ind w:firstLine="720"/>
        <w:contextualSpacing/>
        <w:jc w:val="both"/>
        <w:rPr>
          <w:rFonts w:ascii="Times New Roman" w:hAnsi="Times New Roman" w:cs="Times New Roman"/>
          <w:b w:val="0"/>
          <w:bCs w:val="0"/>
          <w:sz w:val="24"/>
          <w:szCs w:val="24"/>
        </w:rPr>
      </w:pPr>
      <w:r w:rsidRPr="00640741">
        <w:rPr>
          <w:rFonts w:ascii="Times New Roman" w:hAnsi="Times New Roman" w:cs="Times New Roman"/>
          <w:b w:val="0"/>
          <w:bCs w:val="0"/>
          <w:sz w:val="24"/>
          <w:szCs w:val="24"/>
        </w:rPr>
        <w:t>CEPs que decidirem compartilhar suas observações com o Grupo de Trabalho responsável pelo guia podem fazê-lo a qualquer momento</w:t>
      </w:r>
      <w:r w:rsidR="003C2BBA">
        <w:rPr>
          <w:rFonts w:ascii="Times New Roman" w:hAnsi="Times New Roman" w:cs="Times New Roman"/>
          <w:b w:val="0"/>
          <w:bCs w:val="0"/>
          <w:sz w:val="24"/>
          <w:szCs w:val="24"/>
        </w:rPr>
        <w:t xml:space="preserve"> por meio da Secretaria Executiva da INAEP (se.inaep@saude.gov.br)</w:t>
      </w:r>
      <w:r w:rsidRPr="00640741">
        <w:rPr>
          <w:rFonts w:ascii="Times New Roman" w:hAnsi="Times New Roman" w:cs="Times New Roman"/>
          <w:b w:val="0"/>
          <w:bCs w:val="0"/>
          <w:sz w:val="24"/>
          <w:szCs w:val="24"/>
        </w:rPr>
        <w:t>. Não há prazo, não há formulário obrigatório, não há contrapartida institucional. O compartilhamento é ato voluntário, e seu único propósito é informar a evolução futura do instrumento.</w:t>
      </w:r>
    </w:p>
    <w:p w14:paraId="7D91D8B7" w14:textId="77777777" w:rsidR="00640741" w:rsidRPr="00640741" w:rsidRDefault="00000000" w:rsidP="003C2BBA">
      <w:pPr>
        <w:pStyle w:val="Heading1"/>
        <w:spacing w:line="360" w:lineRule="auto"/>
        <w:ind w:firstLine="720"/>
        <w:contextualSpacing/>
        <w:jc w:val="both"/>
        <w:rPr>
          <w:rFonts w:ascii="Times New Roman" w:hAnsi="Times New Roman" w:cs="Times New Roman"/>
          <w:b w:val="0"/>
          <w:bCs w:val="0"/>
          <w:sz w:val="24"/>
          <w:szCs w:val="24"/>
        </w:rPr>
      </w:pPr>
      <w:r w:rsidRPr="00640741">
        <w:rPr>
          <w:rFonts w:ascii="Times New Roman" w:hAnsi="Times New Roman" w:cs="Times New Roman"/>
          <w:b w:val="0"/>
          <w:bCs w:val="0"/>
          <w:sz w:val="24"/>
          <w:szCs w:val="24"/>
        </w:rPr>
        <w:t>O canal sugerido é o envio da planilha-modelo, preenchida e com identificação institucional do CEP, para o endereço eletrônico do Grupo de Trabalho indicado na página oficial do guia. O envio pode ser feito em qualquer formato que o CEP preferir: a planilha completa, um resumo dos indicadores agregados ou apenas uma nota narrativa descrevendo o que o colegiado observou. CEPs que tenham preocupação com a confidencialidade de informações institucionais podem encaminhar apenas os indicadores agregados, sem os registros por protocolo.</w:t>
      </w:r>
    </w:p>
    <w:p w14:paraId="2585514B" w14:textId="2DB7C1C8" w:rsidR="00EC0D1F" w:rsidRPr="00640741" w:rsidRDefault="00000000" w:rsidP="003C2BBA">
      <w:pPr>
        <w:pStyle w:val="Heading1"/>
        <w:spacing w:line="360" w:lineRule="auto"/>
        <w:ind w:firstLine="720"/>
        <w:contextualSpacing/>
        <w:jc w:val="both"/>
        <w:rPr>
          <w:rFonts w:ascii="Times New Roman" w:hAnsi="Times New Roman" w:cs="Times New Roman"/>
          <w:b w:val="0"/>
          <w:bCs w:val="0"/>
          <w:sz w:val="24"/>
          <w:szCs w:val="24"/>
        </w:rPr>
      </w:pPr>
      <w:r w:rsidRPr="00640741">
        <w:rPr>
          <w:rFonts w:ascii="Times New Roman" w:hAnsi="Times New Roman" w:cs="Times New Roman"/>
          <w:b w:val="0"/>
          <w:bCs w:val="0"/>
          <w:sz w:val="24"/>
          <w:szCs w:val="24"/>
        </w:rPr>
        <w:t>O Grupo de Trabalho consolidará as contribuições recebidas e as utilizará, em conjunto com outras fontes de evidência, para informar eventuais revisões da matriz em ciclos futuros de atualização do guia. As contribuições não terão atribuição nominal sem autorização expressa do CEP remetente, e nenhum CEP será identificado em publicação derivada sem seu consentimento institucional.</w:t>
      </w:r>
    </w:p>
    <w:p w14:paraId="5A3270C9" w14:textId="77777777" w:rsidR="00640741" w:rsidRDefault="00640741" w:rsidP="003C2BBA">
      <w:pPr>
        <w:pStyle w:val="Heading1"/>
        <w:spacing w:line="360" w:lineRule="auto"/>
        <w:contextualSpacing/>
        <w:jc w:val="both"/>
        <w:rPr>
          <w:rFonts w:ascii="Times New Roman" w:hAnsi="Times New Roman" w:cs="Times New Roman"/>
        </w:rPr>
      </w:pPr>
    </w:p>
    <w:p w14:paraId="7C5EE980" w14:textId="77777777" w:rsidR="00640741" w:rsidRDefault="00640741" w:rsidP="003C2BBA">
      <w:pPr>
        <w:pStyle w:val="Heading1"/>
        <w:spacing w:line="360" w:lineRule="auto"/>
        <w:contextualSpacing/>
        <w:jc w:val="both"/>
        <w:rPr>
          <w:rFonts w:ascii="Times New Roman" w:hAnsi="Times New Roman" w:cs="Times New Roman"/>
        </w:rPr>
      </w:pPr>
    </w:p>
    <w:p w14:paraId="2756E750" w14:textId="77777777" w:rsidR="00640741" w:rsidRPr="003C2BBA" w:rsidRDefault="00000000" w:rsidP="003C2BBA">
      <w:pPr>
        <w:pStyle w:val="Heading1"/>
        <w:spacing w:line="360" w:lineRule="auto"/>
        <w:contextualSpacing/>
        <w:jc w:val="both"/>
        <w:rPr>
          <w:rFonts w:ascii="Times New Roman" w:hAnsi="Times New Roman" w:cs="Times New Roman"/>
          <w:sz w:val="24"/>
          <w:szCs w:val="24"/>
        </w:rPr>
      </w:pPr>
      <w:r w:rsidRPr="003C2BBA">
        <w:rPr>
          <w:rFonts w:ascii="Times New Roman" w:hAnsi="Times New Roman" w:cs="Times New Roman"/>
          <w:sz w:val="24"/>
          <w:szCs w:val="24"/>
        </w:rPr>
        <w:t>F.6  Recursos disponíveis</w:t>
      </w:r>
    </w:p>
    <w:p w14:paraId="16308A11" w14:textId="77777777" w:rsidR="00640741" w:rsidRPr="003C2BBA" w:rsidRDefault="00000000" w:rsidP="003C2BBA">
      <w:pPr>
        <w:pStyle w:val="Heading1"/>
        <w:spacing w:line="360" w:lineRule="auto"/>
        <w:ind w:firstLine="720"/>
        <w:contextualSpacing/>
        <w:jc w:val="both"/>
        <w:rPr>
          <w:rFonts w:ascii="Times New Roman" w:hAnsi="Times New Roman" w:cs="Times New Roman"/>
          <w:b w:val="0"/>
          <w:bCs w:val="0"/>
          <w:sz w:val="24"/>
          <w:szCs w:val="24"/>
        </w:rPr>
      </w:pPr>
      <w:r w:rsidRPr="003C2BBA">
        <w:rPr>
          <w:rFonts w:ascii="Times New Roman" w:hAnsi="Times New Roman" w:cs="Times New Roman"/>
          <w:b w:val="0"/>
          <w:bCs w:val="0"/>
          <w:sz w:val="24"/>
          <w:szCs w:val="24"/>
        </w:rPr>
        <w:t>Acompanha este apêndice uma planilha-modelo em formato .xlsx, com abas dedicadas a cada uma das três frentes de validação, fórmulas pré-configuradas para cálculo dos indicadores e painel-resumo com leitura sugerida. A planilha pode ser usada em qualquer software compatível, como Microsoft Excel, LibreOffice Calc ou Google Sheets, e não requer instalação de qualquer extensão estatística.</w:t>
      </w:r>
    </w:p>
    <w:p w14:paraId="6BBF4EB2" w14:textId="77777777" w:rsidR="00640741" w:rsidRPr="003C2BBA" w:rsidRDefault="00000000" w:rsidP="003C2BBA">
      <w:pPr>
        <w:pStyle w:val="Heading1"/>
        <w:spacing w:line="360" w:lineRule="auto"/>
        <w:ind w:firstLine="720"/>
        <w:contextualSpacing/>
        <w:jc w:val="both"/>
        <w:rPr>
          <w:rFonts w:ascii="Times New Roman" w:hAnsi="Times New Roman" w:cs="Times New Roman"/>
          <w:b w:val="0"/>
          <w:bCs w:val="0"/>
          <w:sz w:val="24"/>
          <w:szCs w:val="24"/>
        </w:rPr>
      </w:pPr>
      <w:r w:rsidRPr="003C2BBA">
        <w:rPr>
          <w:rFonts w:ascii="Times New Roman" w:hAnsi="Times New Roman" w:cs="Times New Roman"/>
          <w:b w:val="0"/>
          <w:bCs w:val="0"/>
          <w:sz w:val="24"/>
          <w:szCs w:val="24"/>
        </w:rPr>
        <w:t>O software MARIAH, descrito no Capítulo 7 e disponibilizado como Software Público Brasileiro, oferece uma camada operacional complementar: a aplicação das matrizes diretamente em formato digital, com exportação de relatórios padronizados. CEPs que prefiram operar o exercício de validação em ambiente digital podem fazê-lo exportando os relatórios e transferindo os dados para a planilha-modelo deste apêndice. O repositório oficial do software fica em github.com/Tonaco-13.</w:t>
      </w:r>
    </w:p>
    <w:p w14:paraId="414D99F2" w14:textId="041D1BC7" w:rsidR="00EC0D1F" w:rsidRPr="003C2BBA" w:rsidRDefault="00000000" w:rsidP="003C2BBA">
      <w:pPr>
        <w:pStyle w:val="Heading1"/>
        <w:spacing w:line="360" w:lineRule="auto"/>
        <w:ind w:firstLine="720"/>
        <w:contextualSpacing/>
        <w:jc w:val="both"/>
        <w:rPr>
          <w:rFonts w:ascii="Times New Roman" w:hAnsi="Times New Roman" w:cs="Times New Roman"/>
          <w:b w:val="0"/>
          <w:bCs w:val="0"/>
          <w:sz w:val="24"/>
          <w:szCs w:val="24"/>
        </w:rPr>
      </w:pPr>
      <w:r w:rsidRPr="003C2BBA">
        <w:rPr>
          <w:rFonts w:ascii="Times New Roman" w:hAnsi="Times New Roman" w:cs="Times New Roman"/>
          <w:b w:val="0"/>
          <w:bCs w:val="0"/>
          <w:sz w:val="24"/>
          <w:szCs w:val="24"/>
        </w:rPr>
        <w:t>Dúvidas operacionais sobre a aplicação deste roteiro podem ser encaminhadas, junto com observações e sugestões, pelo canal indicado em F.5.</w:t>
      </w:r>
    </w:p>
    <w:p w14:paraId="7924713F" w14:textId="77777777" w:rsidR="003C2BBA" w:rsidRDefault="003C2BBA" w:rsidP="003C2BBA">
      <w:pPr>
        <w:pStyle w:val="Heading1"/>
        <w:spacing w:line="360" w:lineRule="auto"/>
        <w:contextualSpacing/>
        <w:jc w:val="both"/>
        <w:rPr>
          <w:rFonts w:ascii="Times New Roman" w:hAnsi="Times New Roman" w:cs="Times New Roman"/>
          <w:b w:val="0"/>
          <w:bCs w:val="0"/>
          <w:sz w:val="24"/>
          <w:szCs w:val="24"/>
        </w:rPr>
      </w:pPr>
    </w:p>
    <w:p w14:paraId="71611443" w14:textId="34534254" w:rsidR="003C2BBA" w:rsidRPr="003C2BBA" w:rsidRDefault="00000000" w:rsidP="003C2BBA">
      <w:pPr>
        <w:pStyle w:val="Heading1"/>
        <w:spacing w:line="360" w:lineRule="auto"/>
        <w:contextualSpacing/>
        <w:jc w:val="both"/>
        <w:rPr>
          <w:rFonts w:ascii="Times New Roman" w:hAnsi="Times New Roman" w:cs="Times New Roman"/>
          <w:sz w:val="24"/>
          <w:szCs w:val="24"/>
        </w:rPr>
      </w:pPr>
      <w:r w:rsidRPr="003C2BBA">
        <w:rPr>
          <w:rFonts w:ascii="Times New Roman" w:hAnsi="Times New Roman" w:cs="Times New Roman"/>
          <w:sz w:val="24"/>
          <w:szCs w:val="24"/>
        </w:rPr>
        <w:t>Referências</w:t>
      </w:r>
    </w:p>
    <w:p w14:paraId="43683A08" w14:textId="77777777" w:rsidR="003C2BBA" w:rsidRDefault="00000000" w:rsidP="003C2BBA">
      <w:pPr>
        <w:pStyle w:val="Heading1"/>
        <w:spacing w:line="360" w:lineRule="auto"/>
        <w:contextualSpacing/>
        <w:jc w:val="both"/>
        <w:rPr>
          <w:rFonts w:ascii="Times New Roman" w:hAnsi="Times New Roman" w:cs="Times New Roman"/>
          <w:b w:val="0"/>
          <w:bCs w:val="0"/>
          <w:sz w:val="24"/>
          <w:szCs w:val="24"/>
        </w:rPr>
      </w:pPr>
      <w:r w:rsidRPr="003C2BBA">
        <w:rPr>
          <w:rFonts w:ascii="Times New Roman" w:hAnsi="Times New Roman" w:cs="Times New Roman"/>
          <w:b w:val="0"/>
          <w:bCs w:val="0"/>
          <w:sz w:val="24"/>
          <w:szCs w:val="24"/>
        </w:rPr>
        <w:t>BRASIL. Conselho Nacional de Saúde. Resolução n.º 466, de 12 de dezembro de 2012. Brasília: Ministério da Saúde, 2012.</w:t>
      </w:r>
    </w:p>
    <w:p w14:paraId="17876958" w14:textId="77777777" w:rsidR="003C2BBA" w:rsidRDefault="00000000" w:rsidP="003C2BBA">
      <w:pPr>
        <w:pStyle w:val="Heading1"/>
        <w:spacing w:line="360" w:lineRule="auto"/>
        <w:contextualSpacing/>
        <w:jc w:val="both"/>
        <w:rPr>
          <w:rFonts w:ascii="Times New Roman" w:hAnsi="Times New Roman" w:cs="Times New Roman"/>
          <w:b w:val="0"/>
          <w:bCs w:val="0"/>
          <w:sz w:val="24"/>
          <w:szCs w:val="24"/>
        </w:rPr>
      </w:pPr>
      <w:r w:rsidRPr="003C2BBA">
        <w:rPr>
          <w:rFonts w:ascii="Times New Roman" w:hAnsi="Times New Roman" w:cs="Times New Roman"/>
          <w:b w:val="0"/>
          <w:bCs w:val="0"/>
          <w:sz w:val="24"/>
          <w:szCs w:val="24"/>
        </w:rPr>
        <w:t>BRASIL. Conselho Nacional de Saúde. Resolução n.º 510, de 7 de abril de 2016. Brasília: Ministério da Saúde, 2016.</w:t>
      </w:r>
    </w:p>
    <w:p w14:paraId="7032C6D8" w14:textId="77777777" w:rsidR="003C2BBA" w:rsidRDefault="00000000" w:rsidP="003C2BBA">
      <w:pPr>
        <w:pStyle w:val="Heading1"/>
        <w:spacing w:line="360" w:lineRule="auto"/>
        <w:contextualSpacing/>
        <w:jc w:val="both"/>
        <w:rPr>
          <w:rFonts w:ascii="Times New Roman" w:hAnsi="Times New Roman" w:cs="Times New Roman"/>
          <w:b w:val="0"/>
          <w:bCs w:val="0"/>
          <w:sz w:val="24"/>
          <w:szCs w:val="24"/>
        </w:rPr>
      </w:pPr>
      <w:r w:rsidRPr="003C2BBA">
        <w:rPr>
          <w:rFonts w:ascii="Times New Roman" w:hAnsi="Times New Roman" w:cs="Times New Roman"/>
          <w:b w:val="0"/>
          <w:bCs w:val="0"/>
          <w:sz w:val="24"/>
          <w:szCs w:val="24"/>
        </w:rPr>
        <w:t>BRASIL. Conselho Nacional de Saúde. Resolução n.º 738, de 8 de novembro de 2024. Brasília: Ministério da Saúde, 2024.</w:t>
      </w:r>
    </w:p>
    <w:p w14:paraId="49364F02" w14:textId="77777777" w:rsidR="003C2BBA" w:rsidRDefault="00000000" w:rsidP="003C2BBA">
      <w:pPr>
        <w:pStyle w:val="Heading1"/>
        <w:spacing w:line="360" w:lineRule="auto"/>
        <w:contextualSpacing/>
        <w:jc w:val="both"/>
        <w:rPr>
          <w:rFonts w:ascii="Times New Roman" w:hAnsi="Times New Roman" w:cs="Times New Roman"/>
          <w:b w:val="0"/>
          <w:bCs w:val="0"/>
          <w:sz w:val="24"/>
          <w:szCs w:val="24"/>
        </w:rPr>
      </w:pPr>
      <w:r w:rsidRPr="003C2BBA">
        <w:rPr>
          <w:rFonts w:ascii="Times New Roman" w:hAnsi="Times New Roman" w:cs="Times New Roman"/>
          <w:b w:val="0"/>
          <w:bCs w:val="0"/>
          <w:sz w:val="24"/>
          <w:szCs w:val="24"/>
        </w:rPr>
        <w:t>COHEN, J. A coefficient of agreement for nominal scales. Educational and Psychological Measurement, v. 20, n. 1, p. 37–46, 1960.</w:t>
      </w:r>
    </w:p>
    <w:p w14:paraId="4CE3D7C8" w14:textId="77777777" w:rsidR="003C2BBA" w:rsidRDefault="00000000" w:rsidP="003C2BBA">
      <w:pPr>
        <w:pStyle w:val="Heading1"/>
        <w:spacing w:line="360" w:lineRule="auto"/>
        <w:contextualSpacing/>
        <w:jc w:val="both"/>
        <w:rPr>
          <w:rFonts w:ascii="Times New Roman" w:hAnsi="Times New Roman" w:cs="Times New Roman"/>
          <w:b w:val="0"/>
          <w:bCs w:val="0"/>
          <w:sz w:val="24"/>
          <w:szCs w:val="24"/>
        </w:rPr>
      </w:pPr>
      <w:r w:rsidRPr="003C2BBA">
        <w:rPr>
          <w:rFonts w:ascii="Times New Roman" w:hAnsi="Times New Roman" w:cs="Times New Roman"/>
          <w:b w:val="0"/>
          <w:bCs w:val="0"/>
          <w:sz w:val="24"/>
          <w:szCs w:val="24"/>
        </w:rPr>
        <w:t>LANDIS, J. R.; KOCH, G. G. The measurement of observer agreement for categorical data. Biometrics, v. 33, n. 1, p. 159–174, 1977.</w:t>
      </w:r>
    </w:p>
    <w:p w14:paraId="7FFE3BE0" w14:textId="6733E4F7" w:rsidR="00EC0D1F" w:rsidRPr="003C2BBA" w:rsidRDefault="00000000" w:rsidP="003C2BBA">
      <w:pPr>
        <w:pStyle w:val="Heading1"/>
        <w:spacing w:line="360" w:lineRule="auto"/>
        <w:contextualSpacing/>
        <w:jc w:val="both"/>
        <w:rPr>
          <w:rFonts w:ascii="Times New Roman" w:hAnsi="Times New Roman" w:cs="Times New Roman"/>
          <w:b w:val="0"/>
          <w:bCs w:val="0"/>
          <w:sz w:val="24"/>
          <w:szCs w:val="24"/>
        </w:rPr>
      </w:pPr>
      <w:r w:rsidRPr="003C2BBA">
        <w:rPr>
          <w:rFonts w:ascii="Times New Roman" w:hAnsi="Times New Roman" w:cs="Times New Roman"/>
          <w:b w:val="0"/>
          <w:bCs w:val="0"/>
          <w:sz w:val="24"/>
          <w:szCs w:val="24"/>
        </w:rPr>
        <w:t>SAMUELS, R.; OLIVEIRA, A. S. (Org.). Diretrizes éticas para pesquisa com inteligência artificial: guia para Comitês de Ética em Pesquisa. Brasília: Ministério da Saúde, no prelo. Capítulos 7 e 9.</w:t>
      </w:r>
    </w:p>
    <w:sectPr w:rsidR="00EC0D1F" w:rsidRPr="003C2BB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001F8" w14:textId="77777777" w:rsidR="00DC5EF2" w:rsidRDefault="00DC5EF2">
      <w:r>
        <w:separator/>
      </w:r>
    </w:p>
  </w:endnote>
  <w:endnote w:type="continuationSeparator" w:id="0">
    <w:p w14:paraId="4FD45C45" w14:textId="77777777" w:rsidR="00DC5EF2" w:rsidRDefault="00DC5E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C33FB" w14:textId="77777777" w:rsidR="00EC0D1F" w:rsidRDefault="00000000">
    <w:pPr>
      <w:jc w:val="center"/>
    </w:pPr>
    <w:r>
      <w:rPr>
        <w:color w:val="666666"/>
        <w:sz w:val="18"/>
        <w:szCs w:val="18"/>
      </w:rPr>
      <w:t xml:space="preserve">Página </w:t>
    </w:r>
    <w:r>
      <w:rPr>
        <w:color w:val="666666"/>
        <w:sz w:val="18"/>
        <w:szCs w:val="18"/>
      </w:rPr>
      <w:fldChar w:fldCharType="begin"/>
    </w:r>
    <w:r>
      <w:rPr>
        <w:color w:val="666666"/>
        <w:sz w:val="18"/>
        <w:szCs w:val="18"/>
      </w:rPr>
      <w:instrText>PAGE</w:instrText>
    </w:r>
    <w:r>
      <w:rPr>
        <w:color w:val="666666"/>
        <w:sz w:val="18"/>
        <w:szCs w:val="18"/>
      </w:rPr>
      <w:fldChar w:fldCharType="separate"/>
    </w:r>
    <w:r w:rsidR="008768D1">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85EE3" w14:textId="77777777" w:rsidR="00DC5EF2" w:rsidRDefault="00DC5EF2">
      <w:r>
        <w:separator/>
      </w:r>
    </w:p>
  </w:footnote>
  <w:footnote w:type="continuationSeparator" w:id="0">
    <w:p w14:paraId="010CA110" w14:textId="77777777" w:rsidR="00DC5EF2" w:rsidRDefault="00DC5E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6A81E" w14:textId="77777777" w:rsidR="00EC0D1F" w:rsidRDefault="00000000">
    <w:pPr>
      <w:jc w:val="right"/>
    </w:pPr>
    <w:r>
      <w:rPr>
        <w:color w:val="666666"/>
        <w:sz w:val="18"/>
        <w:szCs w:val="18"/>
      </w:rPr>
      <w:t>Guia de Uso Ético da Inteligência Artificial em Pesquisa com Seres Humanos  ·  Apêndice 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00752C"/>
    <w:multiLevelType w:val="hybridMultilevel"/>
    <w:tmpl w:val="EE9A3C32"/>
    <w:lvl w:ilvl="0" w:tplc="DADCC27C">
      <w:start w:val="1"/>
      <w:numFmt w:val="bullet"/>
      <w:lvlText w:val="●"/>
      <w:lvlJc w:val="left"/>
      <w:pPr>
        <w:ind w:left="720" w:hanging="360"/>
      </w:pPr>
    </w:lvl>
    <w:lvl w:ilvl="1" w:tplc="CBDEABEC">
      <w:start w:val="1"/>
      <w:numFmt w:val="bullet"/>
      <w:lvlText w:val="○"/>
      <w:lvlJc w:val="left"/>
      <w:pPr>
        <w:ind w:left="1440" w:hanging="360"/>
      </w:pPr>
    </w:lvl>
    <w:lvl w:ilvl="2" w:tplc="EAEE319C">
      <w:start w:val="1"/>
      <w:numFmt w:val="bullet"/>
      <w:lvlText w:val="■"/>
      <w:lvlJc w:val="left"/>
      <w:pPr>
        <w:ind w:left="2160" w:hanging="360"/>
      </w:pPr>
    </w:lvl>
    <w:lvl w:ilvl="3" w:tplc="98929672">
      <w:start w:val="1"/>
      <w:numFmt w:val="bullet"/>
      <w:lvlText w:val="●"/>
      <w:lvlJc w:val="left"/>
      <w:pPr>
        <w:ind w:left="2880" w:hanging="360"/>
      </w:pPr>
    </w:lvl>
    <w:lvl w:ilvl="4" w:tplc="14E288C6">
      <w:start w:val="1"/>
      <w:numFmt w:val="bullet"/>
      <w:lvlText w:val="○"/>
      <w:lvlJc w:val="left"/>
      <w:pPr>
        <w:ind w:left="3600" w:hanging="360"/>
      </w:pPr>
    </w:lvl>
    <w:lvl w:ilvl="5" w:tplc="8ABA9910">
      <w:start w:val="1"/>
      <w:numFmt w:val="bullet"/>
      <w:lvlText w:val="■"/>
      <w:lvlJc w:val="left"/>
      <w:pPr>
        <w:ind w:left="4320" w:hanging="360"/>
      </w:pPr>
    </w:lvl>
    <w:lvl w:ilvl="6" w:tplc="8D56844A">
      <w:start w:val="1"/>
      <w:numFmt w:val="bullet"/>
      <w:lvlText w:val="●"/>
      <w:lvlJc w:val="left"/>
      <w:pPr>
        <w:ind w:left="5040" w:hanging="360"/>
      </w:pPr>
    </w:lvl>
    <w:lvl w:ilvl="7" w:tplc="B158F9D0">
      <w:start w:val="1"/>
      <w:numFmt w:val="bullet"/>
      <w:lvlText w:val="●"/>
      <w:lvlJc w:val="left"/>
      <w:pPr>
        <w:ind w:left="5760" w:hanging="360"/>
      </w:pPr>
    </w:lvl>
    <w:lvl w:ilvl="8" w:tplc="23E6A6D8">
      <w:start w:val="1"/>
      <w:numFmt w:val="bullet"/>
      <w:lvlText w:val="●"/>
      <w:lvlJc w:val="left"/>
      <w:pPr>
        <w:ind w:left="6480" w:hanging="360"/>
      </w:pPr>
    </w:lvl>
  </w:abstractNum>
  <w:num w:numId="1" w16cid:durableId="20135580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9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0D1F"/>
    <w:rsid w:val="003C2BBA"/>
    <w:rsid w:val="00421661"/>
    <w:rsid w:val="0046755D"/>
    <w:rsid w:val="0059027D"/>
    <w:rsid w:val="00640741"/>
    <w:rsid w:val="008768D1"/>
    <w:rsid w:val="00CF61F7"/>
    <w:rsid w:val="00DC5EF2"/>
    <w:rsid w:val="00EC0D1F"/>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decimalSymbol w:val=","/>
  <w:listSeparator w:val=","/>
  <w14:docId w14:val="4C8CB04C"/>
  <w15:docId w15:val="{61D05A85-218A-F74A-A09F-F7B51DB51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0"/>
      <w:szCs w:val="30"/>
    </w:rPr>
  </w:style>
  <w:style w:type="paragraph" w:styleId="Heading2">
    <w:name w:val="heading 2"/>
    <w:uiPriority w:val="9"/>
    <w:unhideWhenUsed/>
    <w:qFormat/>
    <w:pPr>
      <w:spacing w:before="280" w:after="16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6</Pages>
  <Words>1952</Words>
  <Characters>11890</Characters>
  <Application>Microsoft Office Word</Application>
  <DocSecurity>0</DocSecurity>
  <Lines>237</Lines>
  <Paragraphs>131</Paragraphs>
  <ScaleCrop>false</ScaleCrop>
  <HeadingPairs>
    <vt:vector size="2" baseType="variant">
      <vt:variant>
        <vt:lpstr>Title</vt:lpstr>
      </vt:variant>
      <vt:variant>
        <vt:i4>1</vt:i4>
      </vt:variant>
    </vt:vector>
  </HeadingPairs>
  <TitlesOfParts>
    <vt:vector size="1" baseType="lpstr">
      <vt:lpstr>Apêndice F — Guia de Validação Local da MARIAH pelos CEPs</vt:lpstr>
    </vt:vector>
  </TitlesOfParts>
  <Company/>
  <LinksUpToDate>false</LinksUpToDate>
  <CharactersWithSpaces>13711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Apêndice F — Guia de Validação Local da MARIAH pelos CEPs</dc:title>
  <dc:creator>Fabiano Tonaco Borges</dc:creator>
  <dc:description>Apêndice ao Guia de Uso Ético da Inteligência Artificial em Pesquisa com Seres Humanos</dc:description>
  <cp:lastModifiedBy>Fabiano Tonaco Borges</cp:lastModifiedBy>
  <cp:revision>4</cp:revision>
  <dcterms:created xsi:type="dcterms:W3CDTF">2026-05-26T13:46:00Z</dcterms:created>
  <dcterms:modified xsi:type="dcterms:W3CDTF">2026-05-27T11:50:00Z</dcterms:modified>
</cp:coreProperties>
</file>