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4F5B63" w14:textId="77777777" w:rsidR="002214C8" w:rsidRPr="00903152" w:rsidRDefault="00000000" w:rsidP="00903152">
      <w:pPr>
        <w:spacing w:after="60" w:line="360" w:lineRule="auto"/>
        <w:rPr>
          <w:rFonts w:ascii="Times New Roman" w:hAnsi="Times New Roman" w:cs="Times New Roman"/>
          <w:sz w:val="24"/>
          <w:szCs w:val="24"/>
        </w:rPr>
      </w:pPr>
      <w:r>
        <w:rPr>
          <w:rFonts w:ascii="Times New Roman" w:hAnsi="Times New Roman" w:cs="Times New Roman"/>
          <w:i/>
          <w:iCs/>
          <w:color w:val="6B7280"/>
          <w:sz w:val="24"/>
          <w:szCs w:val="24"/>
        </w:rPr>
        <w:t>Nota técnica de transparencia metodológica</w:t>
      </w:r>
    </w:p>
    <w:p w14:paraId="1771DB94" w14:textId="77777777" w:rsidR="002214C8" w:rsidRPr="00903152" w:rsidRDefault="00000000" w:rsidP="00903152">
      <w:pPr>
        <w:spacing w:after="240" w:line="360" w:lineRule="auto"/>
        <w:rPr>
          <w:rFonts w:ascii="Times New Roman" w:hAnsi="Times New Roman" w:cs="Times New Roman"/>
          <w:sz w:val="24"/>
          <w:szCs w:val="24"/>
        </w:rPr>
      </w:pPr>
      <w:r>
        <w:rPr>
          <w:rFonts w:ascii="Times New Roman" w:hAnsi="Times New Roman" w:cs="Times New Roman"/>
          <w:b/>
          <w:bCs/>
          <w:color w:val="0F766E"/>
          <w:sz w:val="24"/>
          <w:szCs w:val="24"/>
        </w:rPr>
        <w:t>Premisas de la clasificación de riesgo de la MARIAH</w:t>
      </w:r>
    </w:p>
    <w:p w14:paraId="060184ED" w14:textId="167B9215" w:rsidR="002214C8" w:rsidRPr="00903152" w:rsidRDefault="00000000" w:rsidP="00903152">
      <w:pPr>
        <w:spacing w:after="240" w:line="360" w:lineRule="auto"/>
        <w:rPr>
          <w:rFonts w:ascii="Times New Roman" w:hAnsi="Times New Roman" w:cs="Times New Roman"/>
          <w:sz w:val="24"/>
          <w:szCs w:val="24"/>
        </w:rPr>
      </w:pPr>
      <w:r>
        <w:rPr>
          <w:rFonts w:ascii="Times New Roman" w:hAnsi="Times New Roman" w:cs="Times New Roman"/>
          <w:i/>
          <w:iCs/>
          <w:color w:val="6B7280"/>
          <w:sz w:val="24"/>
          <w:szCs w:val="24"/>
        </w:rPr>
        <w:t>MARIAH Matriz de Evaluación de Riesgo de Inteligencia Artificial en Investigación con Seres Humanos · Versión preliminar · Junio de 2026</w:t>
      </w:r>
    </w:p>
    <w:p w14:paraId="060184ED" w14:textId="167B9215" w:rsidR="002214C8" w:rsidRPr="00903152" w:rsidRDefault="00000000" w:rsidP="00903152">
      <w:pPr>
        <w:spacing w:after="240" w:line="360" w:lineRule="auto"/>
        <w:rPr>
          <w:rFonts w:ascii="Times New Roman" w:hAnsi="Times New Roman" w:cs="Times New Roman"/>
          <w:sz w:val="24"/>
          <w:szCs w:val="24"/>
        </w:rPr>
      </w:pPr>
      <w:r>
        <w:rPr>
          <w:rFonts w:ascii="Times New Roman" w:hAnsi="Times New Roman" w:cs="Times New Roman"/>
          <w:color w:val="6B7280"/>
          <w:i/>
          <w:sz w:val="18"/>
          <w:szCs w:val="18"/>
        </w:rPr>
        <w:t>Esta es una traducción de cortesía. La versión normativa vigente es la versión en portugués (pt-BR).</w:t>
      </w:r>
    </w:p>
    <w:p w14:paraId="03552881" w14:textId="0279E09D" w:rsidR="002214C8" w:rsidRPr="00903152" w:rsidRDefault="00000000" w:rsidP="00903152">
      <w:pPr>
        <w:spacing w:after="120" w:line="360" w:lineRule="auto"/>
        <w:jc w:val="both"/>
        <w:rPr>
          <w:rFonts w:ascii="Times New Roman" w:hAnsi="Times New Roman" w:cs="Times New Roman"/>
          <w:sz w:val="24"/>
          <w:szCs w:val="24"/>
        </w:rPr>
      </w:pPr>
      <w:r>
        <w:rPr>
          <w:rFonts w:ascii="Times New Roman" w:hAnsi="Times New Roman" w:cs="Times New Roman"/>
          <w:sz w:val="24"/>
          <w:szCs w:val="24"/>
        </w:rPr>
        <w:t xml:space="preserve">Este documento explicita las premisas que sustentan la clasificación de riesgo producida por la MARIAH. Este texto está dirigido a lectores técnicos, como estadísticos, metodólogos, integrantes de CEP e investigadores, que necesitan auditar, criticar o entender las decisiones del instrumento. No constituye una invitación a conducir la validación dirigida a ningún lector en particular: la validación empírica es prospectiva y tiene una trayectoria propia, descrita al final.</w:t>
      </w:r>
    </w:p>
    <w:p w14:paraId="7116BF96" w14:textId="77777777" w:rsidR="00903152" w:rsidRDefault="00903152">
      <w:pPr>
        <w:spacing w:after="120" w:line="360" w:lineRule="auto"/>
        <w:jc w:val="both"/>
      </w:pPr>
      <w:r>
        <w:rPr>
          <w:rFonts w:ascii="Times New Roman" w:hAnsi="Times New Roman" w:cs="Times New Roman"/>
          <w:sz w:val="24"/>
          <w:szCs w:val="24"/>
        </w:rPr>
        <w:t>Las premisas de la MARIAH se organizan en tres capas: (i) lo que deriva de la norma; (ii) lo que se adoptó en la elaboración de la matriz, con base en el referencial normativo y en la literatura sistematizada en la propia Guía; y (iii) lo que permanece pendiente de validación empírica, objeto del protocolo descrito en la Sección de Validación Local (documento MARIAH). El documento presenta las principales decisiones metodológicas y sus justificaciones, e indica lo que ya puede someterse a juicio técnico y lo que, por ahora, todavía no.</w:t>
      </w:r>
    </w:p>
    <w:p w14:paraId="0D4554C8" w14:textId="77777777" w:rsidR="002214C8" w:rsidRPr="00903152" w:rsidRDefault="00000000" w:rsidP="00903152">
      <w:pPr>
        <w:pStyle w:val="Heading1"/>
        <w:spacing w:line="360" w:lineRule="auto"/>
        <w:rPr>
          <w:rFonts w:ascii="Times New Roman" w:hAnsi="Times New Roman" w:cs="Times New Roman"/>
          <w:sz w:val="24"/>
          <w:szCs w:val="24"/>
        </w:rPr>
      </w:pPr>
      <w:r>
        <w:rPr>
          <w:rFonts w:ascii="Times New Roman" w:hAnsi="Times New Roman" w:cs="Times New Roman"/>
          <w:sz w:val="24"/>
          <w:szCs w:val="24"/>
        </w:rPr>
        <w:t>1. Capa normativa (no está en discusión)</w:t>
      </w:r>
    </w:p>
    <w:p w14:paraId="37D22C16" w14:textId="531ED27B" w:rsidR="002214C8" w:rsidRPr="00903152" w:rsidRDefault="00000000" w:rsidP="00903152">
      <w:pPr>
        <w:pStyle w:val="ListParagraph"/>
        <w:numPr>
          <w:ilvl w:val="0"/>
          <w:numId w:val="2"/>
        </w:numPr>
        <w:spacing w:after="80" w:line="360" w:lineRule="auto"/>
        <w:jc w:val="both"/>
        <w:rPr>
          <w:rFonts w:ascii="Times New Roman" w:hAnsi="Times New Roman" w:cs="Times New Roman"/>
          <w:sz w:val="24"/>
          <w:szCs w:val="24"/>
        </w:rPr>
      </w:pPr>
      <w:r>
        <w:rPr>
          <w:rFonts w:ascii="Times New Roman" w:hAnsi="Times New Roman" w:cs="Times New Roman"/>
          <w:sz w:val="24"/>
          <w:szCs w:val="24"/>
        </w:rPr>
        <w:t xml:space="preserve">Los cuatro niveles de riesgo (I, II, III, IV) siguen la categorización del Consejo Nacional de Salud (CNS) de Brasil —bajo, moderado, alto y crítico—, fijada por las Resoluciones CNS n.º 466/2012, 510/2016 y 738/2024.</w:t>
      </w:r>
    </w:p>
    <w:p w14:paraId="14F22103" w14:textId="77777777" w:rsidR="002214C8" w:rsidRPr="00903152" w:rsidRDefault="00000000" w:rsidP="00903152">
      <w:pPr>
        <w:pStyle w:val="ListParagraph"/>
        <w:numPr>
          <w:ilvl w:val="0"/>
          <w:numId w:val="2"/>
        </w:numPr>
        <w:spacing w:after="80" w:line="360" w:lineRule="auto"/>
        <w:jc w:val="both"/>
        <w:rPr>
          <w:rFonts w:ascii="Times New Roman" w:hAnsi="Times New Roman" w:cs="Times New Roman"/>
          <w:sz w:val="24"/>
          <w:szCs w:val="24"/>
        </w:rPr>
      </w:pPr>
      <w:r>
        <w:rPr>
          <w:rFonts w:ascii="Times New Roman" w:hAnsi="Times New Roman" w:cs="Times New Roman"/>
          <w:sz w:val="24"/>
          <w:szCs w:val="24"/>
        </w:rPr>
        <w:t>La escala se trata como ordinal, no de intervalo: no se asume que la distancia semántica entre el Nivel I y el II equivalga a la distancia entre el Nivel III y el IV.</w:t>
      </w:r>
    </w:p>
    <w:p w14:paraId="27E91B7A" w14:textId="6BA411AF" w:rsidR="002214C8" w:rsidRPr="00903152" w:rsidRDefault="00000000" w:rsidP="00903152">
      <w:pPr>
        <w:pStyle w:val="ListParagraph"/>
        <w:numPr>
          <w:ilvl w:val="0"/>
          <w:numId w:val="2"/>
        </w:numPr>
        <w:spacing w:after="80" w:line="360" w:lineRule="auto"/>
        <w:jc w:val="both"/>
        <w:rPr>
          <w:rFonts w:ascii="Times New Roman" w:hAnsi="Times New Roman" w:cs="Times New Roman"/>
          <w:sz w:val="24"/>
          <w:szCs w:val="24"/>
        </w:rPr>
      </w:pPr>
      <w:r>
        <w:rPr>
          <w:rFonts w:ascii="Times New Roman" w:hAnsi="Times New Roman" w:cs="Times New Roman"/>
          <w:sz w:val="24"/>
          <w:szCs w:val="24"/>
        </w:rPr>
        <w:t xml:space="preserve">Los ejes temáticos de la Versión A (Ejes 1 a 5, y el Eje 3.b condicionado a la Res. 738) derivan del mapeo normativo y de la literatura ética sobre IA en investigación con seres humanos. Se trataron como dimensiones conceptualmente independientes del riesgo, es decir, una decisión teórica, no un hallazgo empírico.</w:t>
      </w:r>
    </w:p>
    <w:p w14:paraId="34CFD151" w14:textId="72D1FDA4" w:rsidR="002214C8" w:rsidRPr="00903152" w:rsidRDefault="00000000" w:rsidP="00903152">
      <w:pPr>
        <w:pStyle w:val="Heading1"/>
        <w:spacing w:line="360" w:lineRule="auto"/>
        <w:rPr>
          <w:rFonts w:ascii="Times New Roman" w:hAnsi="Times New Roman" w:cs="Times New Roman"/>
          <w:sz w:val="24"/>
          <w:szCs w:val="24"/>
        </w:rPr>
      </w:pPr>
      <w:r>
        <w:rPr>
          <w:rFonts w:ascii="Times New Roman" w:hAnsi="Times New Roman" w:cs="Times New Roman"/>
          <w:sz w:val="24"/>
          <w:szCs w:val="24"/>
        </w:rPr>
        <w:t xml:space="preserve">2. Capa de elaboración: decisiones adoptadas en la construcción de la matriz</w:t>
      </w:r>
    </w:p>
    <w:p w14:paraId="239DDA88" w14:textId="7E3D4B89" w:rsidR="002214C8" w:rsidRPr="00903152" w:rsidRDefault="00000000" w:rsidP="00903152">
      <w:pPr>
        <w:spacing w:after="120" w:line="36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Las decisiones aquí descritas fueron adoptadas por la organización en la elaboración de la matriz, a partir del referencial normativo y de la literatura sistematizada para la Guía. La matriz, ahora en la versión de la Guía para el GT (junio de 2026), está abierta a sugerencias editoriales y de mérito, pues no </w:t>
        <w:lastRenderedPageBreak/>
        <w:t xml:space="preserve">refleja la deliberación colegiada del Grupo de Trabajo. Los eventuales ajustes a estas decisiones se consolidarán al final del período de lectura.</w:t>
      </w:r>
    </w:p>
    <w:p w14:paraId="79D55F88" w14:textId="1C06EAF1" w:rsidR="002214C8" w:rsidRPr="00903152" w:rsidRDefault="00000000" w:rsidP="00903152">
      <w:pPr>
        <w:pStyle w:val="Heading2"/>
        <w:spacing w:line="360" w:lineRule="auto"/>
        <w:rPr>
          <w:rFonts w:ascii="Times New Roman" w:hAnsi="Times New Roman" w:cs="Times New Roman"/>
          <w:sz w:val="24"/>
          <w:szCs w:val="24"/>
        </w:rPr>
      </w:pPr>
      <w:r>
        <w:rPr>
          <w:rFonts w:ascii="Times New Roman" w:hAnsi="Times New Roman" w:cs="Times New Roman"/>
          <w:sz w:val="24"/>
          <w:szCs w:val="24"/>
        </w:rPr>
        <w:t xml:space="preserve">2.1 Versión A: regla cualitativa por eje</w:t>
      </w:r>
    </w:p>
    <w:p w14:paraId="09BED33B" w14:textId="77777777" w:rsidR="002214C8" w:rsidRPr="00903152" w:rsidRDefault="00000000" w:rsidP="00903152">
      <w:pPr>
        <w:pStyle w:val="ListParagraph"/>
        <w:numPr>
          <w:ilvl w:val="0"/>
          <w:numId w:val="2"/>
        </w:numPr>
        <w:spacing w:after="80" w:line="360" w:lineRule="auto"/>
        <w:jc w:val="both"/>
        <w:rPr>
          <w:rFonts w:ascii="Times New Roman" w:hAnsi="Times New Roman" w:cs="Times New Roman"/>
          <w:sz w:val="24"/>
          <w:szCs w:val="24"/>
        </w:rPr>
      </w:pPr>
      <w:r>
        <w:rPr>
          <w:rFonts w:ascii="Times New Roman" w:hAnsi="Times New Roman" w:cs="Times New Roman"/>
          <w:sz w:val="24"/>
          <w:szCs w:val="24"/>
        </w:rPr>
        <w:t>Umbrales por eje (regla estándar): 0 preguntas de riesgo → Nivel I; 1–2 → Nivel II; 3–4 → Nivel III; 5 o más → Nivel IV. Calibración teórica, no derivada de datos.</w:t>
      </w:r>
    </w:p>
    <w:p w14:paraId="78BA246B" w14:textId="2BCC4E79" w:rsidR="002214C8" w:rsidRPr="00903152" w:rsidRDefault="00000000" w:rsidP="00903152">
      <w:pPr>
        <w:pStyle w:val="ListParagraph"/>
        <w:numPr>
          <w:ilvl w:val="0"/>
          <w:numId w:val="2"/>
        </w:numPr>
        <w:spacing w:after="80" w:line="360" w:lineRule="auto"/>
        <w:jc w:val="both"/>
        <w:rPr>
          <w:rFonts w:ascii="Times New Roman" w:hAnsi="Times New Roman" w:cs="Times New Roman"/>
          <w:sz w:val="24"/>
          <w:szCs w:val="24"/>
        </w:rPr>
      </w:pPr>
      <w:r>
        <w:rPr>
          <w:rFonts w:ascii="Times New Roman" w:hAnsi="Times New Roman" w:cs="Times New Roman"/>
          <w:sz w:val="24"/>
          <w:szCs w:val="24"/>
        </w:rPr>
        <w:t xml:space="preserve">Regla de consolidación por máximo: el nivel final es el más alto observado entre todos los ejes aplicables. </w:t>
      </w:r>
      <w:r>
        <w:rPr>
          <w:rFonts w:ascii="Times New Roman" w:hAnsi="Times New Roman" w:cs="Times New Roman"/>
          <w:b/>
          <w:bCs/>
          <w:sz w:val="24"/>
          <w:szCs w:val="24"/>
        </w:rPr>
        <w:t>Se trata de una decisión deliberadamente conservadora, alineada con el principio de precaución en ética de la investigación</w:t>
      </w:r>
      <w:r>
        <w:rPr>
          <w:rFonts w:ascii="Times New Roman" w:hAnsi="Times New Roman" w:cs="Times New Roman"/>
          <w:sz w:val="24"/>
          <w:szCs w:val="24"/>
        </w:rPr>
        <w:t xml:space="preserve">. Las alternativas estadísticas (media, mediana, suma ponderada) se descartaron en la elaboración porque suavizan señales críticas en ejes específicos.</w:t>
      </w:r>
    </w:p>
    <w:p w14:paraId="18142099" w14:textId="77777777" w:rsidR="002214C8" w:rsidRPr="00903152" w:rsidRDefault="00000000" w:rsidP="00903152">
      <w:pPr>
        <w:pStyle w:val="ListParagraph"/>
        <w:numPr>
          <w:ilvl w:val="0"/>
          <w:numId w:val="2"/>
        </w:numPr>
        <w:spacing w:after="80" w:line="360" w:lineRule="auto"/>
        <w:jc w:val="both"/>
        <w:rPr>
          <w:rFonts w:ascii="Times New Roman" w:hAnsi="Times New Roman" w:cs="Times New Roman"/>
          <w:sz w:val="24"/>
          <w:szCs w:val="24"/>
        </w:rPr>
      </w:pPr>
      <w:r>
        <w:rPr>
          <w:rFonts w:ascii="Times New Roman" w:hAnsi="Times New Roman" w:cs="Times New Roman"/>
          <w:sz w:val="24"/>
          <w:szCs w:val="24"/>
        </w:rPr>
        <w:t>Regla especial del Eje 3.b (Res. 738/2024): 0 → Nivel I (no eleva); 1–2 → Nivel III; 3 o más → Nivel IV. El Nivel II se salta deliberadamente en este eje, lo que refleja el entendimiento de que los problemas con bancos de datos de investigación no admiten una categoría moderada intermedia.</w:t>
      </w:r>
    </w:p>
    <w:p w14:paraId="57334D7F" w14:textId="3582BCAF" w:rsidR="002214C8" w:rsidRPr="00903152" w:rsidRDefault="00000000" w:rsidP="00903152">
      <w:pPr>
        <w:pStyle w:val="ListParagraph"/>
        <w:numPr>
          <w:ilvl w:val="0"/>
          <w:numId w:val="2"/>
        </w:numPr>
        <w:spacing w:after="80" w:line="360" w:lineRule="auto"/>
        <w:jc w:val="both"/>
        <w:rPr>
          <w:rFonts w:ascii="Times New Roman" w:hAnsi="Times New Roman" w:cs="Times New Roman"/>
          <w:sz w:val="24"/>
          <w:szCs w:val="24"/>
        </w:rPr>
      </w:pPr>
      <w:r>
        <w:rPr>
          <w:rFonts w:ascii="Times New Roman" w:hAnsi="Times New Roman" w:cs="Times New Roman"/>
          <w:sz w:val="24"/>
          <w:szCs w:val="24"/>
        </w:rPr>
        <w:t xml:space="preserve">Preguntas eliminatorias (modo Res. 738): cuando se activan, clasifican el protocolo como «no evaluable por la MARIAH» Se suman además ítems de diligencia (Eje 3.b / Bloque 6.b) que, si no se cumplen, devuelven el protocolo sin análisis de mérito., salida categorial que sobrescribe la suma y exige un análisis individualizado del colegiado.</w:t>
      </w:r>
    </w:p>
    <w:p w14:paraId="6630D8A7" w14:textId="3F2869FA" w:rsidR="002214C8" w:rsidRPr="00903152" w:rsidRDefault="00000000" w:rsidP="00903152">
      <w:pPr>
        <w:pStyle w:val="Heading2"/>
        <w:spacing w:line="360" w:lineRule="auto"/>
        <w:rPr>
          <w:rFonts w:ascii="Times New Roman" w:hAnsi="Times New Roman" w:cs="Times New Roman"/>
          <w:sz w:val="24"/>
          <w:szCs w:val="24"/>
        </w:rPr>
      </w:pPr>
      <w:r>
        <w:rPr>
          <w:rFonts w:ascii="Times New Roman" w:hAnsi="Times New Roman" w:cs="Times New Roman"/>
          <w:sz w:val="24"/>
          <w:szCs w:val="24"/>
        </w:rPr>
        <w:t xml:space="preserve">2.2 Versión B: puntuación cuantitativa por bloque</w:t>
      </w:r>
    </w:p>
    <w:p w14:paraId="7AF45E7F" w14:textId="77777777" w:rsidR="002214C8" w:rsidRPr="00903152" w:rsidRDefault="00000000" w:rsidP="00903152">
      <w:pPr>
        <w:pStyle w:val="ListParagraph"/>
        <w:numPr>
          <w:ilvl w:val="0"/>
          <w:numId w:val="2"/>
        </w:numPr>
        <w:spacing w:after="80" w:line="360" w:lineRule="auto"/>
        <w:jc w:val="both"/>
        <w:rPr>
          <w:rFonts w:ascii="Times New Roman" w:hAnsi="Times New Roman" w:cs="Times New Roman"/>
          <w:sz w:val="24"/>
          <w:szCs w:val="24"/>
        </w:rPr>
      </w:pPr>
      <w:r>
        <w:rPr>
          <w:rFonts w:ascii="Times New Roman" w:hAnsi="Times New Roman" w:cs="Times New Roman"/>
          <w:sz w:val="24"/>
          <w:szCs w:val="24"/>
        </w:rPr>
        <w:t>Los pesos por pregunta dentro de cada uno de los siete bloques se asignaron en la elaboración de la matriz, con base en el referencial normativo y en la literatura. No hubo, en esta fase, deliberación colegiada con voto ponderado, análisis factorial confirmatorio, regresión sobre desenlaces éticos ni elicitación probabilística estructurada (Delphi cuantitativo).</w:t>
      </w:r>
    </w:p>
    <w:p w14:paraId="0BDA3A8E" w14:textId="77777777" w:rsidR="002214C8" w:rsidRPr="00903152" w:rsidRDefault="00000000" w:rsidP="00903152">
      <w:pPr>
        <w:pStyle w:val="ListParagraph"/>
        <w:numPr>
          <w:ilvl w:val="0"/>
          <w:numId w:val="2"/>
        </w:numPr>
        <w:spacing w:after="80" w:line="360" w:lineRule="auto"/>
        <w:jc w:val="both"/>
        <w:rPr>
          <w:rFonts w:ascii="Times New Roman" w:hAnsi="Times New Roman" w:cs="Times New Roman"/>
          <w:sz w:val="24"/>
          <w:szCs w:val="24"/>
        </w:rPr>
      </w:pPr>
      <w:r>
        <w:rPr>
          <w:rFonts w:ascii="Times New Roman" w:hAnsi="Times New Roman" w:cs="Times New Roman"/>
          <w:sz w:val="24"/>
          <w:szCs w:val="24"/>
        </w:rPr>
        <w:t>Modelo aditivo: la puntuación total es la suma de las puntuaciones de los bloques. Se asume la aditividad de los efectos de riesgo; no hay términos de interacción ni ponderación multiplicativa entre bloques.</w:t>
      </w:r>
    </w:p>
    <w:p w14:paraId="4E051C32" w14:textId="77777777" w:rsidR="002214C8" w:rsidRPr="00903152" w:rsidRDefault="00000000" w:rsidP="00903152">
      <w:pPr>
        <w:pStyle w:val="ListParagraph"/>
        <w:numPr>
          <w:ilvl w:val="0"/>
          <w:numId w:val="2"/>
        </w:numPr>
        <w:spacing w:after="80" w:line="360" w:lineRule="auto"/>
        <w:jc w:val="both"/>
        <w:rPr>
          <w:rFonts w:ascii="Times New Roman" w:hAnsi="Times New Roman" w:cs="Times New Roman"/>
          <w:sz w:val="24"/>
          <w:szCs w:val="24"/>
        </w:rPr>
      </w:pPr>
      <w:r>
        <w:rPr>
          <w:rFonts w:ascii="Times New Roman" w:hAnsi="Times New Roman" w:cs="Times New Roman"/>
          <w:sz w:val="24"/>
          <w:szCs w:val="24"/>
        </w:rPr>
        <w:t>Cláusula de Primacía Ética: si P4.1 o P4.2 = Sí, el protocolo se eleva obligatoriamente al Nivel IV, sobrescribiendo la suma. Se trata de una regla deontológica incorporada a la escala — ruptura deliberada de la aditividad, adoptada en la elaboración como salvaguarda ética.</w:t>
      </w:r>
    </w:p>
    <w:p w14:paraId="3517965D" w14:textId="77777777" w:rsidR="002214C8" w:rsidRPr="00903152" w:rsidRDefault="00000000" w:rsidP="00903152">
      <w:pPr>
        <w:pStyle w:val="ListParagraph"/>
        <w:numPr>
          <w:ilvl w:val="0"/>
          <w:numId w:val="2"/>
        </w:numPr>
        <w:spacing w:after="80" w:line="360" w:lineRule="auto"/>
        <w:jc w:val="both"/>
        <w:rPr>
          <w:rFonts w:ascii="Times New Roman" w:hAnsi="Times New Roman" w:cs="Times New Roman"/>
          <w:sz w:val="24"/>
          <w:szCs w:val="24"/>
        </w:rPr>
      </w:pPr>
      <w:r>
        <w:rPr>
          <w:rFonts w:ascii="Times New Roman" w:hAnsi="Times New Roman" w:cs="Times New Roman"/>
          <w:sz w:val="24"/>
          <w:szCs w:val="24"/>
        </w:rPr>
        <w:t>El Bloque 7 (Mitigación) es bidireccional: las preguntas suman puntos cuando la respuesta es «No» (sin mitigación, riesgo preservado) y restan cuando es «Sí» (mitigación aplicada), con piso de cero. La mitigación reduce la puntuación pero no genera «crédito» transferible por debajo de cero. El bloque se divide en tres subbloques — 7A (consultas), 7B (medidas de reducción) y 7C (evidencias de transparencia, en régimen de solo descuento: presentes restan, ausentes no suman).</w:t>
      </w:r>
    </w:p>
    <w:p w14:paraId="64F02C59" w14:textId="77777777" w:rsidR="002214C8" w:rsidRPr="00903152" w:rsidRDefault="00000000" w:rsidP="00903152">
      <w:pPr>
        <w:pStyle w:val="ListParagraph"/>
        <w:numPr>
          <w:ilvl w:val="0"/>
          <w:numId w:val="2"/>
        </w:numPr>
        <w:spacing w:after="8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Puntos de corte para los cuatro niveles: calibrados teóricamente, con ajuste proporcional cuando el Bloque 6.b (Res. 738) está activo. Los límites operativos figuran en la Tabla 1.</w:t>
      </w:r>
    </w:p>
    <w:p w14:paraId="6CE245DE" w14:textId="355C1F49" w:rsidR="002214C8" w:rsidRPr="00903152" w:rsidRDefault="00000000" w:rsidP="00903152">
      <w:pPr>
        <w:pStyle w:val="Heading2"/>
        <w:spacing w:line="360" w:lineRule="auto"/>
        <w:jc w:val="center"/>
        <w:rPr>
          <w:rFonts w:ascii="Times New Roman" w:hAnsi="Times New Roman" w:cs="Times New Roman"/>
          <w:sz w:val="24"/>
          <w:szCs w:val="24"/>
        </w:rPr>
      </w:pPr>
      <w:r>
        <w:rPr>
          <w:rFonts w:ascii="Times New Roman" w:hAnsi="Times New Roman" w:cs="Times New Roman"/>
          <w:sz w:val="24"/>
          <w:szCs w:val="24"/>
        </w:rPr>
        <w:t>Tabla 1 Puntos de corte de la Versión 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2214C8" w:rsidRPr="00903152" w14:paraId="10070C14" w14:textId="77777777">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F9F594C" w14:textId="77777777" w:rsidR="002214C8" w:rsidRPr="00903152" w:rsidRDefault="00000000" w:rsidP="00903152">
            <w:pPr>
              <w:spacing w:line="360" w:lineRule="auto"/>
              <w:rPr>
                <w:rFonts w:ascii="Times New Roman" w:hAnsi="Times New Roman" w:cs="Times New Roman"/>
                <w:sz w:val="24"/>
                <w:szCs w:val="24"/>
              </w:rPr>
            </w:pPr>
            <w:r>
              <w:rPr>
                <w:rFonts w:ascii="Times New Roman" w:hAnsi="Times New Roman" w:cs="Times New Roman"/>
                <w:b/>
                <w:bCs/>
                <w:sz w:val="24"/>
                <w:szCs w:val="24"/>
              </w:rPr>
              <w:t>Escenario</w:t>
            </w:r>
          </w:p>
        </w:tc>
        <w:tc>
          <w:tcPr>
            <w:tcW w:w="31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F3197FE" w14:textId="77777777" w:rsidR="002214C8" w:rsidRPr="00903152" w:rsidRDefault="00000000" w:rsidP="00903152">
            <w:pPr>
              <w:spacing w:line="360" w:lineRule="auto"/>
              <w:jc w:val="center"/>
              <w:rPr>
                <w:rFonts w:ascii="Times New Roman" w:hAnsi="Times New Roman" w:cs="Times New Roman"/>
                <w:sz w:val="24"/>
                <w:szCs w:val="24"/>
              </w:rPr>
            </w:pPr>
            <w:r>
              <w:rPr>
                <w:rFonts w:ascii="Times New Roman" w:hAnsi="Times New Roman" w:cs="Times New Roman"/>
                <w:b/>
                <w:bCs/>
                <w:sz w:val="24"/>
                <w:szCs w:val="24"/>
              </w:rPr>
              <w:t>Puntuación máxima</w:t>
            </w:r>
          </w:p>
        </w:tc>
        <w:tc>
          <w:tcPr>
            <w:tcW w:w="31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CA0CDE2" w14:textId="77777777" w:rsidR="002214C8" w:rsidRPr="00903152" w:rsidRDefault="00000000" w:rsidP="00903152">
            <w:pPr>
              <w:spacing w:line="360" w:lineRule="auto"/>
              <w:jc w:val="center"/>
              <w:rPr>
                <w:rFonts w:ascii="Times New Roman" w:hAnsi="Times New Roman" w:cs="Times New Roman"/>
                <w:sz w:val="24"/>
                <w:szCs w:val="24"/>
              </w:rPr>
            </w:pPr>
            <w:r>
              <w:rPr>
                <w:rFonts w:ascii="Times New Roman" w:hAnsi="Times New Roman" w:cs="Times New Roman"/>
                <w:b/>
                <w:bCs/>
                <w:sz w:val="24"/>
                <w:szCs w:val="24"/>
              </w:rPr>
              <w:t>Rangos (I · II · III · IV)</w:t>
            </w:r>
          </w:p>
        </w:tc>
      </w:tr>
      <w:tr w:rsidR="002214C8" w:rsidRPr="00903152" w14:paraId="0C6930C8"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671ED9" w14:textId="77777777" w:rsidR="002214C8" w:rsidRPr="00903152" w:rsidRDefault="00000000" w:rsidP="00903152">
            <w:pPr>
              <w:spacing w:line="360" w:lineRule="auto"/>
              <w:rPr>
                <w:rFonts w:ascii="Times New Roman" w:hAnsi="Times New Roman" w:cs="Times New Roman"/>
                <w:sz w:val="24"/>
                <w:szCs w:val="24"/>
              </w:rPr>
            </w:pPr>
            <w:r>
              <w:rPr>
                <w:rFonts w:ascii="Times New Roman" w:hAnsi="Times New Roman" w:cs="Times New Roman"/>
                <w:sz w:val="24"/>
                <w:szCs w:val="24"/>
              </w:rPr>
              <w:t>Sin banco de datos (Bloques 1–7)</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1764E5" w14:textId="77777777" w:rsidR="002214C8" w:rsidRPr="00903152" w:rsidRDefault="00000000" w:rsidP="00903152">
            <w:pPr>
              <w:spacing w:line="360" w:lineRule="auto"/>
              <w:jc w:val="center"/>
              <w:rPr>
                <w:rFonts w:ascii="Times New Roman" w:hAnsi="Times New Roman" w:cs="Times New Roman"/>
                <w:sz w:val="24"/>
                <w:szCs w:val="24"/>
              </w:rPr>
            </w:pPr>
            <w:r>
              <w:rPr>
                <w:rFonts w:ascii="Times New Roman" w:hAnsi="Times New Roman" w:cs="Times New Roman"/>
                <w:sz w:val="24"/>
                <w:szCs w:val="24"/>
              </w:rPr>
              <w:t>275</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8654A0" w14:textId="77777777" w:rsidR="002214C8" w:rsidRPr="00903152" w:rsidRDefault="00000000" w:rsidP="00903152">
            <w:pPr>
              <w:spacing w:line="360" w:lineRule="auto"/>
              <w:jc w:val="center"/>
              <w:rPr>
                <w:rFonts w:ascii="Times New Roman" w:hAnsi="Times New Roman" w:cs="Times New Roman"/>
                <w:sz w:val="24"/>
                <w:szCs w:val="24"/>
              </w:rPr>
            </w:pPr>
            <w:r>
              <w:rPr>
                <w:rFonts w:ascii="Times New Roman" w:hAnsi="Times New Roman" w:cs="Times New Roman"/>
                <w:sz w:val="24"/>
                <w:szCs w:val="24"/>
              </w:rPr>
              <w:t>≤0–58 · 59–127 · 128–208 · ≥209</w:t>
            </w:r>
          </w:p>
        </w:tc>
      </w:tr>
      <w:tr w:rsidR="002214C8" w:rsidRPr="00903152" w14:paraId="3C81825E" w14:textId="77777777">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81140A" w14:textId="77777777" w:rsidR="002214C8" w:rsidRPr="00903152" w:rsidRDefault="00000000" w:rsidP="00903152">
            <w:pPr>
              <w:spacing w:line="360" w:lineRule="auto"/>
              <w:rPr>
                <w:rFonts w:ascii="Times New Roman" w:hAnsi="Times New Roman" w:cs="Times New Roman"/>
                <w:sz w:val="24"/>
                <w:szCs w:val="24"/>
              </w:rPr>
            </w:pPr>
            <w:r>
              <w:rPr>
                <w:rFonts w:ascii="Times New Roman" w:hAnsi="Times New Roman" w:cs="Times New Roman"/>
                <w:sz w:val="24"/>
                <w:szCs w:val="24"/>
              </w:rPr>
              <w:t>Con banco de datos (incluye el Bloque 6.b, Res. 738)</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EAA3FF" w14:textId="77777777" w:rsidR="002214C8" w:rsidRPr="00903152" w:rsidRDefault="00000000" w:rsidP="00903152">
            <w:pPr>
              <w:spacing w:line="360" w:lineRule="auto"/>
              <w:jc w:val="center"/>
              <w:rPr>
                <w:rFonts w:ascii="Times New Roman" w:hAnsi="Times New Roman" w:cs="Times New Roman"/>
                <w:sz w:val="24"/>
                <w:szCs w:val="24"/>
              </w:rPr>
            </w:pPr>
            <w:r>
              <w:rPr>
                <w:rFonts w:ascii="Times New Roman" w:hAnsi="Times New Roman" w:cs="Times New Roman"/>
                <w:sz w:val="24"/>
                <w:szCs w:val="24"/>
              </w:rPr>
              <w:t>304</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A21161" w14:textId="77777777" w:rsidR="002214C8" w:rsidRPr="00903152" w:rsidRDefault="00000000" w:rsidP="00903152">
            <w:pPr>
              <w:spacing w:line="360" w:lineRule="auto"/>
              <w:jc w:val="center"/>
              <w:rPr>
                <w:rFonts w:ascii="Times New Roman" w:hAnsi="Times New Roman" w:cs="Times New Roman"/>
                <w:sz w:val="24"/>
                <w:szCs w:val="24"/>
              </w:rPr>
            </w:pPr>
            <w:r>
              <w:rPr>
                <w:rFonts w:ascii="Times New Roman" w:hAnsi="Times New Roman" w:cs="Times New Roman"/>
                <w:sz w:val="24"/>
                <w:szCs w:val="24"/>
              </w:rPr>
              <w:t>≤0–64 · 65–141 · 142–230 · ≥231</w:t>
            </w:r>
          </w:p>
        </w:tc>
      </w:tr>
      <w:tr w:rsidR="00903152" w:rsidRPr="00903152" w14:paraId="17CF2E93" w14:textId="77777777" w:rsidTr="00EC64B0">
        <w:tc>
          <w:tcPr>
            <w:tcW w:w="9360" w:type="dxa"/>
            <w:gridSpan w:val="3"/>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4DFC27" w14:textId="54813FDE" w:rsidR="00903152" w:rsidRPr="00903152" w:rsidRDefault="00903152" w:rsidP="00903152">
            <w:pPr>
              <w:spacing w:after="120"/>
              <w:jc w:val="both"/>
              <w:rPr>
                <w:rFonts w:ascii="Times New Roman" w:hAnsi="Times New Roman" w:cs="Times New Roman"/>
                <w:sz w:val="24"/>
                <w:szCs w:val="24"/>
              </w:rPr>
            </w:pPr>
            <w:r>
              <w:rPr>
                <w:rFonts w:ascii="Times New Roman" w:hAnsi="Times New Roman" w:cs="Times New Roman"/>
                <w:color w:val="6B7280"/>
                <w:sz w:val="24"/>
                <w:szCs w:val="24"/>
              </w:rPr>
              <w:t xml:space="preserve">Nota: Los puntos de corte derivan de las fracciones fijas de la línea de base 238 (50/238, 110/238, 180/238) aplicadas al techo teórico vigente, con redondeo de media unidad hacia arriba. Con banco de datos, el techo teórico es 304 y el techo evaluable es 297 (descontada la pregunta eliminatoria P6.b.2). La calibración definitiva es prospectiva — se esperan ajustes tras la observación de la distribución empírica (Frente 2 de la Validación Local).</w:t>
            </w:r>
          </w:p>
        </w:tc>
      </w:tr>
    </w:tbl>
    <w:p w14:paraId="0D83BE97" w14:textId="4D07627D" w:rsidR="002214C8" w:rsidRPr="00903152" w:rsidRDefault="00000000" w:rsidP="00903152">
      <w:pPr>
        <w:pStyle w:val="Heading1"/>
        <w:spacing w:line="360" w:lineRule="auto"/>
        <w:rPr>
          <w:rFonts w:ascii="Times New Roman" w:hAnsi="Times New Roman" w:cs="Times New Roman"/>
          <w:sz w:val="24"/>
          <w:szCs w:val="24"/>
        </w:rPr>
      </w:pPr>
      <w:r>
        <w:rPr>
          <w:rFonts w:ascii="Times New Roman" w:hAnsi="Times New Roman" w:cs="Times New Roman"/>
          <w:sz w:val="24"/>
          <w:szCs w:val="24"/>
        </w:rPr>
        <w:t xml:space="preserve">3. Capa empírica pendiente, objeto de la Validación Local (documento MARIAH)</w:t>
      </w:r>
    </w:p>
    <w:p w14:paraId="123356E3" w14:textId="77777777" w:rsidR="002214C8" w:rsidRPr="00903152" w:rsidRDefault="00000000" w:rsidP="00903152">
      <w:pPr>
        <w:spacing w:after="120" w:line="360" w:lineRule="auto"/>
        <w:ind w:firstLine="540"/>
        <w:jc w:val="both"/>
        <w:rPr>
          <w:rFonts w:ascii="Times New Roman" w:hAnsi="Times New Roman" w:cs="Times New Roman"/>
          <w:sz w:val="24"/>
          <w:szCs w:val="24"/>
        </w:rPr>
      </w:pPr>
      <w:r>
        <w:rPr>
          <w:rFonts w:ascii="Times New Roman" w:hAnsi="Times New Roman" w:cs="Times New Roman"/>
          <w:sz w:val="24"/>
          <w:szCs w:val="24"/>
        </w:rPr>
        <w:t>Ante la pregunta «¿cómo se validó psicométricamente la MARIAH?», la respuesta honesta es: todavía no se validó. La validación empírica es prospectiva y ocurrirá a medida que los CEPs adopten voluntariamente el protocolo descrito en la Sección de Validación Local (documento MARIAH) y lo conduzcan sobre la casuística que efectivamente les sea presentada. No hay, por el momento, especialistas designados de antemano ni cronograma centralizado para la validación: el diseño es deliberadamente descentralizado y acumulativo. La Sección de Validación Local (documento MARIAH) define tres frentes mínimos:</w:t>
      </w:r>
    </w:p>
    <w:p w14:paraId="56990680" w14:textId="1CDF83E5" w:rsidR="002214C8" w:rsidRPr="00903152" w:rsidRDefault="00000000" w:rsidP="00903152">
      <w:pPr>
        <w:pStyle w:val="ListParagraph"/>
        <w:numPr>
          <w:ilvl w:val="0"/>
          <w:numId w:val="2"/>
        </w:numPr>
        <w:spacing w:after="80" w:line="360" w:lineRule="auto"/>
        <w:jc w:val="both"/>
        <w:rPr>
          <w:rFonts w:ascii="Times New Roman" w:hAnsi="Times New Roman" w:cs="Times New Roman"/>
          <w:sz w:val="24"/>
          <w:szCs w:val="24"/>
        </w:rPr>
      </w:pPr>
      <w:r>
        <w:rPr>
          <w:rFonts w:ascii="Times New Roman" w:hAnsi="Times New Roman" w:cs="Times New Roman"/>
          <w:b/>
          <w:bCs/>
          <w:sz w:val="24"/>
          <w:szCs w:val="24"/>
        </w:rPr>
        <w:t xml:space="preserve">Frente 1: Confiabilidad interevaluador (Versión A): </w:t>
      </w:r>
      <w:r>
        <w:rPr>
          <w:rFonts w:ascii="Times New Roman" w:hAnsi="Times New Roman" w:cs="Times New Roman"/>
          <w:sz w:val="24"/>
          <w:szCs w:val="24"/>
        </w:rPr>
        <w:t xml:space="preserve">verifica si dos o más miembros del CEP, al aplicar la Versión A al mismo protocolo de forma independiente, llegan a la misma clasificación (kappa). </w:t>
      </w:r>
    </w:p>
    <w:p w14:paraId="479B33A4" w14:textId="2ABA4D7D" w:rsidR="002214C8" w:rsidRPr="00903152" w:rsidRDefault="00000000" w:rsidP="00903152">
      <w:pPr>
        <w:pStyle w:val="ListParagraph"/>
        <w:numPr>
          <w:ilvl w:val="0"/>
          <w:numId w:val="2"/>
        </w:numPr>
        <w:spacing w:after="80" w:line="360" w:lineRule="auto"/>
        <w:jc w:val="both"/>
        <w:rPr>
          <w:rFonts w:ascii="Times New Roman" w:hAnsi="Times New Roman" w:cs="Times New Roman"/>
          <w:sz w:val="24"/>
          <w:szCs w:val="24"/>
        </w:rPr>
      </w:pPr>
      <w:r>
        <w:rPr>
          <w:rFonts w:ascii="Times New Roman" w:hAnsi="Times New Roman" w:cs="Times New Roman"/>
          <w:b/>
          <w:bCs/>
          <w:sz w:val="24"/>
          <w:szCs w:val="24"/>
        </w:rPr>
        <w:t xml:space="preserve">Frente 2: Distribución empírica en los cuatro niveles (Versión B): </w:t>
      </w:r>
      <w:r>
        <w:rPr>
          <w:rFonts w:ascii="Times New Roman" w:hAnsi="Times New Roman" w:cs="Times New Roman"/>
          <w:sz w:val="24"/>
          <w:szCs w:val="24"/>
        </w:rPr>
        <w:t>examina cómo se distribuye la casuística del CEP en los niveles e identifica concentraciones próximas a los puntos de corte, lo que informa futuros ajustes de calibración.</w:t>
      </w:r>
    </w:p>
    <w:p w14:paraId="2818FDEF" w14:textId="1C630B34" w:rsidR="002214C8" w:rsidRPr="00903152" w:rsidRDefault="00000000" w:rsidP="00903152">
      <w:pPr>
        <w:pStyle w:val="ListParagraph"/>
        <w:numPr>
          <w:ilvl w:val="0"/>
          <w:numId w:val="2"/>
        </w:numPr>
        <w:spacing w:after="80" w:line="360" w:lineRule="auto"/>
        <w:jc w:val="both"/>
        <w:rPr>
          <w:rFonts w:ascii="Times New Roman" w:hAnsi="Times New Roman" w:cs="Times New Roman"/>
          <w:sz w:val="24"/>
          <w:szCs w:val="24"/>
        </w:rPr>
      </w:pPr>
      <w:r>
        <w:rPr>
          <w:rFonts w:ascii="Times New Roman" w:hAnsi="Times New Roman" w:cs="Times New Roman"/>
          <w:b/>
          <w:bCs/>
          <w:sz w:val="24"/>
          <w:szCs w:val="24"/>
        </w:rPr>
        <w:t xml:space="preserve">Frente 3: Convergencia entre las Versiones A y B (modo triaje): </w:t>
      </w:r>
      <w:r>
        <w:rPr>
          <w:rFonts w:ascii="Times New Roman" w:hAnsi="Times New Roman" w:cs="Times New Roman"/>
          <w:sz w:val="24"/>
          <w:szCs w:val="24"/>
        </w:rPr>
        <w:t>tabla de contingencia 4×4 que cruza las clasificaciones de las dos versiones para los protocolos evaluados en ambas; permite identificar discordancia sistemática entre los dos instrumentos.</w:t>
      </w:r>
    </w:p>
    <w:p w14:paraId="61D28E1E" w14:textId="77777777" w:rsidR="002214C8" w:rsidRPr="00903152" w:rsidRDefault="00000000" w:rsidP="00903152">
      <w:pPr>
        <w:pStyle w:val="Heading2"/>
        <w:spacing w:line="360" w:lineRule="auto"/>
        <w:rPr>
          <w:rFonts w:ascii="Times New Roman" w:hAnsi="Times New Roman" w:cs="Times New Roman"/>
          <w:sz w:val="24"/>
          <w:szCs w:val="24"/>
        </w:rPr>
      </w:pPr>
      <w:r>
        <w:rPr>
          <w:rFonts w:ascii="Times New Roman" w:hAnsi="Times New Roman" w:cs="Times New Roman"/>
          <w:sz w:val="24"/>
          <w:szCs w:val="24"/>
        </w:rPr>
        <w:t>3.1 Lo que la Validación Local deliberadamente NO cubre</w:t>
      </w:r>
    </w:p>
    <w:p w14:paraId="65A2FBFF" w14:textId="77777777" w:rsidR="002214C8" w:rsidRPr="00903152" w:rsidRDefault="00000000" w:rsidP="00903152">
      <w:pPr>
        <w:pStyle w:val="ListParagraph"/>
        <w:numPr>
          <w:ilvl w:val="0"/>
          <w:numId w:val="2"/>
        </w:numPr>
        <w:spacing w:after="8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Validez predictiva longitudinal (capacidad del instrumento de predecir desenlaces éticos reales de protocolos aprobados). Requeriría un seguimiento prospectivo y está fuera del alcance de esta primera fase.</w:t>
      </w:r>
    </w:p>
    <w:p w14:paraId="38AA6371" w14:textId="77777777" w:rsidR="002214C8" w:rsidRPr="00903152" w:rsidRDefault="00000000" w:rsidP="00903152">
      <w:pPr>
        <w:pStyle w:val="ListParagraph"/>
        <w:numPr>
          <w:ilvl w:val="0"/>
          <w:numId w:val="2"/>
        </w:numPr>
        <w:spacing w:after="80" w:line="360" w:lineRule="auto"/>
        <w:jc w:val="both"/>
        <w:rPr>
          <w:rFonts w:ascii="Times New Roman" w:hAnsi="Times New Roman" w:cs="Times New Roman"/>
          <w:sz w:val="24"/>
          <w:szCs w:val="24"/>
        </w:rPr>
      </w:pPr>
      <w:r>
        <w:rPr>
          <w:rFonts w:ascii="Times New Roman" w:hAnsi="Times New Roman" w:cs="Times New Roman"/>
          <w:sz w:val="24"/>
          <w:szCs w:val="24"/>
        </w:rPr>
        <w:t>Validez de constructo mediante análisis factorial confirmatorio sobre los ejes de la Versión A o los bloques de la Versión B.</w:t>
      </w:r>
    </w:p>
    <w:p w14:paraId="7BB5BEEA" w14:textId="77777777" w:rsidR="002214C8" w:rsidRPr="00903152" w:rsidRDefault="00000000" w:rsidP="00903152">
      <w:pPr>
        <w:pStyle w:val="ListParagraph"/>
        <w:numPr>
          <w:ilvl w:val="0"/>
          <w:numId w:val="2"/>
        </w:numPr>
        <w:spacing w:after="80" w:line="360" w:lineRule="auto"/>
        <w:jc w:val="both"/>
        <w:rPr>
          <w:rFonts w:ascii="Times New Roman" w:hAnsi="Times New Roman" w:cs="Times New Roman"/>
          <w:sz w:val="24"/>
          <w:szCs w:val="24"/>
        </w:rPr>
      </w:pPr>
      <w:r>
        <w:rPr>
          <w:rFonts w:ascii="Times New Roman" w:hAnsi="Times New Roman" w:cs="Times New Roman"/>
          <w:sz w:val="24"/>
          <w:szCs w:val="24"/>
        </w:rPr>
        <w:t>Análisis de sensibilidad de los pesos (cómo pequeñas variaciones en los puntos por pregunta alteran la clasificación de protocolos limítrofes).</w:t>
      </w:r>
    </w:p>
    <w:p w14:paraId="066A012F" w14:textId="77777777" w:rsidR="002214C8" w:rsidRPr="00903152" w:rsidRDefault="00000000" w:rsidP="00903152">
      <w:pPr>
        <w:pStyle w:val="ListParagraph"/>
        <w:numPr>
          <w:ilvl w:val="0"/>
          <w:numId w:val="2"/>
        </w:numPr>
        <w:spacing w:after="80" w:line="360" w:lineRule="auto"/>
        <w:jc w:val="both"/>
        <w:rPr>
          <w:rFonts w:ascii="Times New Roman" w:hAnsi="Times New Roman" w:cs="Times New Roman"/>
          <w:sz w:val="24"/>
          <w:szCs w:val="24"/>
        </w:rPr>
      </w:pPr>
      <w:r>
        <w:rPr>
          <w:rFonts w:ascii="Times New Roman" w:hAnsi="Times New Roman" w:cs="Times New Roman"/>
          <w:sz w:val="24"/>
          <w:szCs w:val="24"/>
        </w:rPr>
        <w:t>Calibración formal de los puntos de corte mediante curvas ROC frente a un patrón de referencia — inexistente para este dominio en el estado actual del conocimiento.</w:t>
      </w:r>
    </w:p>
    <w:p w14:paraId="2BBC2A63" w14:textId="77777777" w:rsidR="002214C8" w:rsidRPr="00903152" w:rsidRDefault="00000000" w:rsidP="00903152">
      <w:pPr>
        <w:pStyle w:val="Heading1"/>
        <w:spacing w:line="360" w:lineRule="auto"/>
        <w:rPr>
          <w:rFonts w:ascii="Times New Roman" w:hAnsi="Times New Roman" w:cs="Times New Roman"/>
          <w:sz w:val="24"/>
          <w:szCs w:val="24"/>
        </w:rPr>
      </w:pPr>
      <w:r>
        <w:rPr>
          <w:rFonts w:ascii="Times New Roman" w:hAnsi="Times New Roman" w:cs="Times New Roman"/>
          <w:sz w:val="24"/>
          <w:szCs w:val="24"/>
        </w:rPr>
        <w:t>4. Síntesis</w:t>
      </w:r>
    </w:p>
    <w:p w14:paraId="1B6DE1F3" w14:textId="77777777" w:rsidR="00903152" w:rsidRDefault="00000000" w:rsidP="00903152">
      <w:pPr>
        <w:spacing w:after="120" w:line="36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La MARIAH es un instrumento de clasificación de riesgo con fundamento normativo y teórico, cuyas reglas se adoptaron en la elaboración de la matriz a partir del referencial normativo y de la literatura sistematizada en la Guía, con decisiones conservadoras explícitas (regla del máximo en la Versión A; Cláusula de Primacía Ética que eleva obligatoriamente al Nivel IV en la Versión B). </w:t>
      </w:r>
    </w:p>
    <w:p w14:paraId="44EACED4" w14:textId="77777777" w:rsidR="00903152" w:rsidRDefault="00903152" w:rsidP="00903152">
      <w:pPr>
        <w:spacing w:after="120" w:line="360" w:lineRule="auto"/>
        <w:ind w:firstLine="720"/>
        <w:jc w:val="both"/>
      </w:pPr>
      <w:r>
        <w:rPr>
          <w:rFonts w:ascii="Times New Roman" w:hAnsi="Times New Roman" w:cs="Times New Roman"/>
          <w:sz w:val="24"/>
          <w:szCs w:val="24"/>
        </w:rPr>
        <w:t>La escala es ordinal, y su validación psicométrica es prospectiva, a cargo de los CEPs que adopten el instrumento, en los términos de la Sección de Validación Local (documento MARIAH). Los tres frentes propuestos — confiabilidad interevaluador, distribución empírica y convergencia entre versiones — constituyen el núcleo mínimo de evidencia empírica para futuras revisiones del instrumento.</w:t>
      </w:r>
    </w:p>
    <w:p w14:paraId="26862DEF" w14:textId="77777777" w:rsidR="002214C8" w:rsidRPr="00903152" w:rsidRDefault="00000000" w:rsidP="00903152">
      <w:pPr>
        <w:spacing w:after="120" w:line="360" w:lineRule="auto"/>
        <w:jc w:val="both"/>
        <w:rPr>
          <w:rFonts w:ascii="Times New Roman" w:hAnsi="Times New Roman" w:cs="Times New Roman"/>
          <w:sz w:val="24"/>
          <w:szCs w:val="24"/>
        </w:rPr>
      </w:pPr>
      <w:r>
        <w:rPr>
          <w:rFonts w:ascii="Times New Roman" w:hAnsi="Times New Roman" w:cs="Times New Roman"/>
          <w:i/>
          <w:iCs/>
          <w:sz w:val="24"/>
          <w:szCs w:val="24"/>
        </w:rPr>
        <w:t>Las observaciones y críticas técnicas pueden enviarse, en cualquier momento, a la CGREP (cgrep@saude.gov.br) y se considerarán en ciclos futuros de revisión de la Guía y de la matriz.</w:t>
      </w:r>
    </w:p>
    <w:sectPr w:rsidR="002214C8" w:rsidRPr="00903152">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12E5F4" w14:textId="77777777" w:rsidR="00B134D8" w:rsidRDefault="00B134D8">
      <w:r>
        <w:separator/>
      </w:r>
    </w:p>
  </w:endnote>
  <w:endnote w:type="continuationSeparator" w:id="0">
    <w:p w14:paraId="5E98A523" w14:textId="77777777" w:rsidR="00B134D8" w:rsidRDefault="00B134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578A5" w14:textId="77777777" w:rsidR="002214C8" w:rsidRDefault="00000000">
    <w:pPr>
      <w:jc w:val="center"/>
    </w:pPr>
    <w:r>
      <w:rPr>
        <w:color w:val="6B7280"/>
        <w:sz w:val="16"/>
        <w:szCs w:val="16"/>
      </w:rPr>
      <w:t xml:space="preserve">Página </w:t>
    </w:r>
    <w:r>
      <w:rPr>
        <w:color w:val="6B7280"/>
        <w:sz w:val="16"/>
        <w:szCs w:val="16"/>
      </w:rPr>
      <w:fldChar w:fldCharType="begin"/>
    </w:r>
    <w:r>
      <w:rPr>
        <w:color w:val="6B7280"/>
        <w:sz w:val="16"/>
        <w:szCs w:val="16"/>
      </w:rPr>
      <w:instrText>PAGE</w:instrText>
    </w:r>
    <w:r>
      <w:rPr>
        <w:color w:val="6B7280"/>
        <w:sz w:val="16"/>
        <w:szCs w:val="16"/>
      </w:rPr>
      <w:fldChar w:fldCharType="separate"/>
    </w:r>
    <w:r w:rsidR="009C4836">
      <w:rPr>
        <w:noProof/>
        <w:color w:val="6B7280"/>
        <w:sz w:val="16"/>
        <w:szCs w:val="16"/>
      </w:rPr>
      <w:t>1</w:t>
    </w:r>
    <w:r>
      <w:rPr>
        <w:color w:val="6B7280"/>
        <w:sz w:val="16"/>
        <w:szCs w:val="16"/>
      </w:rPr>
      <w:fldChar w:fldCharType="end"/>
    </w:r>
    <w:r>
      <w:rPr>
        <w:color w:val="6B7280"/>
        <w:sz w:val="16"/>
        <w:szCs w:val="16"/>
      </w:rPr>
      <w:t xml:space="preserve"> · GT INAEP · Ministerio de Salud de Brasil ·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75495E" w14:textId="77777777" w:rsidR="00B134D8" w:rsidRDefault="00B134D8">
      <w:r>
        <w:separator/>
      </w:r>
    </w:p>
  </w:footnote>
  <w:footnote w:type="continuationSeparator" w:id="0">
    <w:p w14:paraId="539DD887" w14:textId="77777777" w:rsidR="00B134D8" w:rsidRDefault="00B134D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04F33" w14:textId="77777777" w:rsidR="002214C8" w:rsidRDefault="00000000">
    <w:pPr>
      <w:jc w:val="right"/>
    </w:pPr>
    <w:r>
      <w:rPr>
        <w:i/>
        <w:iCs/>
        <w:color w:val="6B7280"/>
        <w:sz w:val="16"/>
        <w:szCs w:val="16"/>
      </w:rPr>
      <w:t>MARIAH — Nota técnica · Premisas metodológicas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01B5C"/>
    <w:multiLevelType w:val="hybridMultilevel"/>
    <w:tmpl w:val="B06A5D6C"/>
    <w:lvl w:ilvl="0" w:tplc="76D40EF8">
      <w:start w:val="1"/>
      <w:numFmt w:val="bullet"/>
      <w:lvlText w:val="●"/>
      <w:lvlJc w:val="left"/>
      <w:pPr>
        <w:ind w:left="720" w:hanging="360"/>
      </w:pPr>
    </w:lvl>
    <w:lvl w:ilvl="1" w:tplc="81005CAC">
      <w:start w:val="1"/>
      <w:numFmt w:val="bullet"/>
      <w:lvlText w:val="○"/>
      <w:lvlJc w:val="left"/>
      <w:pPr>
        <w:ind w:left="1440" w:hanging="360"/>
      </w:pPr>
    </w:lvl>
    <w:lvl w:ilvl="2" w:tplc="AE1CE924">
      <w:start w:val="1"/>
      <w:numFmt w:val="bullet"/>
      <w:lvlText w:val="■"/>
      <w:lvlJc w:val="left"/>
      <w:pPr>
        <w:ind w:left="2160" w:hanging="360"/>
      </w:pPr>
    </w:lvl>
    <w:lvl w:ilvl="3" w:tplc="9072E5DA">
      <w:start w:val="1"/>
      <w:numFmt w:val="bullet"/>
      <w:lvlText w:val="●"/>
      <w:lvlJc w:val="left"/>
      <w:pPr>
        <w:ind w:left="2880" w:hanging="360"/>
      </w:pPr>
    </w:lvl>
    <w:lvl w:ilvl="4" w:tplc="8A5A26A0">
      <w:start w:val="1"/>
      <w:numFmt w:val="bullet"/>
      <w:lvlText w:val="○"/>
      <w:lvlJc w:val="left"/>
      <w:pPr>
        <w:ind w:left="3600" w:hanging="360"/>
      </w:pPr>
    </w:lvl>
    <w:lvl w:ilvl="5" w:tplc="4D04F018">
      <w:start w:val="1"/>
      <w:numFmt w:val="bullet"/>
      <w:lvlText w:val="■"/>
      <w:lvlJc w:val="left"/>
      <w:pPr>
        <w:ind w:left="4320" w:hanging="360"/>
      </w:pPr>
    </w:lvl>
    <w:lvl w:ilvl="6" w:tplc="6CF21F5C">
      <w:start w:val="1"/>
      <w:numFmt w:val="bullet"/>
      <w:lvlText w:val="●"/>
      <w:lvlJc w:val="left"/>
      <w:pPr>
        <w:ind w:left="5040" w:hanging="360"/>
      </w:pPr>
    </w:lvl>
    <w:lvl w:ilvl="7" w:tplc="7B24AB7A">
      <w:start w:val="1"/>
      <w:numFmt w:val="bullet"/>
      <w:lvlText w:val="●"/>
      <w:lvlJc w:val="left"/>
      <w:pPr>
        <w:ind w:left="5760" w:hanging="360"/>
      </w:pPr>
    </w:lvl>
    <w:lvl w:ilvl="8" w:tplc="EAFA1460">
      <w:start w:val="1"/>
      <w:numFmt w:val="bullet"/>
      <w:lvlText w:val="●"/>
      <w:lvlJc w:val="left"/>
      <w:pPr>
        <w:ind w:left="6480" w:hanging="360"/>
      </w:pPr>
    </w:lvl>
  </w:abstractNum>
  <w:abstractNum w:abstractNumId="1" w15:restartNumberingAfterBreak="0">
    <w:nsid w:val="23900E27"/>
    <w:multiLevelType w:val="hybridMultilevel"/>
    <w:tmpl w:val="2E281AA8"/>
    <w:lvl w:ilvl="0" w:tplc="F7BC91B6">
      <w:start w:val="1"/>
      <w:numFmt w:val="bullet"/>
      <w:lvlText w:val="•"/>
      <w:lvlJc w:val="left"/>
      <w:pPr>
        <w:ind w:left="540" w:hanging="270"/>
      </w:pPr>
    </w:lvl>
    <w:lvl w:ilvl="1" w:tplc="7AC449E4">
      <w:numFmt w:val="decimal"/>
      <w:lvlText w:val=""/>
      <w:lvlJc w:val="left"/>
    </w:lvl>
    <w:lvl w:ilvl="2" w:tplc="1C16F5CA">
      <w:numFmt w:val="decimal"/>
      <w:lvlText w:val=""/>
      <w:lvlJc w:val="left"/>
    </w:lvl>
    <w:lvl w:ilvl="3" w:tplc="E7EA9A9A">
      <w:numFmt w:val="decimal"/>
      <w:lvlText w:val=""/>
      <w:lvlJc w:val="left"/>
    </w:lvl>
    <w:lvl w:ilvl="4" w:tplc="7D524584">
      <w:numFmt w:val="decimal"/>
      <w:lvlText w:val=""/>
      <w:lvlJc w:val="left"/>
    </w:lvl>
    <w:lvl w:ilvl="5" w:tplc="3C305F6C">
      <w:numFmt w:val="decimal"/>
      <w:lvlText w:val=""/>
      <w:lvlJc w:val="left"/>
    </w:lvl>
    <w:lvl w:ilvl="6" w:tplc="38F0D2B0">
      <w:numFmt w:val="decimal"/>
      <w:lvlText w:val=""/>
      <w:lvlJc w:val="left"/>
    </w:lvl>
    <w:lvl w:ilvl="7" w:tplc="2EE8C5B6">
      <w:numFmt w:val="decimal"/>
      <w:lvlText w:val=""/>
      <w:lvlJc w:val="left"/>
    </w:lvl>
    <w:lvl w:ilvl="8" w:tplc="6A107898">
      <w:numFmt w:val="decimal"/>
      <w:lvlText w:val=""/>
      <w:lvlJc w:val="left"/>
    </w:lvl>
  </w:abstractNum>
  <w:num w:numId="1" w16cid:durableId="349067423">
    <w:abstractNumId w:val="0"/>
    <w:lvlOverride w:ilvl="0">
      <w:startOverride w:val="1"/>
    </w:lvlOverride>
  </w:num>
  <w:num w:numId="2" w16cid:durableId="126977973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8"/>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14C8"/>
    <w:rsid w:val="00160964"/>
    <w:rsid w:val="002214C8"/>
    <w:rsid w:val="005C596F"/>
    <w:rsid w:val="00621974"/>
    <w:rsid w:val="007A10A5"/>
    <w:rsid w:val="007F1C28"/>
    <w:rsid w:val="00816AEB"/>
    <w:rsid w:val="008A5680"/>
    <w:rsid w:val="00903152"/>
    <w:rsid w:val="00935DC8"/>
    <w:rsid w:val="00996086"/>
    <w:rsid w:val="009C4836"/>
    <w:rsid w:val="009E0D48"/>
    <w:rsid w:val="00B134D8"/>
    <w:rsid w:val="00BA7E35"/>
    <w:rsid w:val="00FE6556"/>
  </w:rsids>
  <m:mathPr>
    <m:mathFont m:val="Cambria Math"/>
    <m:brkBin m:val="before"/>
    <m:brkBinSub m:val="--"/>
    <m:smallFrac m:val="0"/>
    <m:dispDef/>
    <m:lMargin m:val="0"/>
    <m:rMargin m:val="0"/>
    <m:defJc m:val="centerGroup"/>
    <m:wrapIndent m:val="1440"/>
    <m:intLim m:val="subSup"/>
    <m:naryLim m:val="undOvr"/>
  </m:mathPr>
  <w:themeFontLang w:val="en-BR"/>
  <w:clrSchemeMapping w:bg1="light1" w:t1="dark1" w:bg2="light2" w:t2="dark2" w:accent1="accent1" w:accent2="accent2" w:accent3="accent3" w:accent4="accent4" w:accent5="accent5" w:accent6="accent6" w:hyperlink="hyperlink" w:followedHyperlink="followedHyperlink"/>
  <w:decimalSymbol w:val=","/>
  <w:listSeparator w:val=","/>
  <w14:docId w14:val="0D3A2BD1"/>
  <w15:docId w15:val="{D19C32CD-FC26-FA41-8414-E4956A81A3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B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color w:val="0F766E"/>
      <w:sz w:val="26"/>
      <w:szCs w:val="26"/>
    </w:rPr>
  </w:style>
  <w:style w:type="paragraph" w:styleId="Heading2">
    <w:name w:val="heading 2"/>
    <w:uiPriority w:val="9"/>
    <w:unhideWhenUsed/>
    <w:qFormat/>
    <w:pPr>
      <w:spacing w:before="180" w:after="90"/>
      <w:outlineLvl w:val="1"/>
    </w:pPr>
    <w:rPr>
      <w:b/>
      <w:bCs/>
      <w:color w:val="1F2937"/>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1213</Words>
  <Characters>6652</Characters>
  <Application>Microsoft Office Word</Application>
  <DocSecurity>0</DocSecurity>
  <Lines>117</Lines>
  <Paragraphs>47</Paragraphs>
  <ScaleCrop>false</ScaleCrop>
  <Company/>
  <LinksUpToDate>false</LinksUpToDate>
  <CharactersWithSpaces>7834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Premissas metodológicas da classificação de risco da MARIAH</dc:title>
  <dc:creator>MARIAH / GT INAEP</dc:creator>
  <dc:description>Nota técnica para apreciação estatística</dc:description>
  <cp:lastModifiedBy>Fabiano Tonaco Borges</cp:lastModifiedBy>
  <cp:revision>2</cp:revision>
  <dcterms:created xsi:type="dcterms:W3CDTF">2026-06-14T20:25:00Z</dcterms:created>
  <dcterms:modified xsi:type="dcterms:W3CDTF">2026-06-14T20:25:00Z</dcterms:modified>
</cp:coreProperties>
</file>