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BB224" w14:textId="77777777" w:rsidR="00EC0D1F" w:rsidRPr="0059027D" w:rsidRDefault="00000000" w:rsidP="0059027D">
      <w:pPr>
        <w:spacing w:after="120" w:line="360" w:lineRule="auto"/>
        <w:contextualSpacing/>
        <w:rPr>
          <w:rFonts w:ascii="Times New Roman" w:hAnsi="Times New Roman" w:cs="Times New Roman"/>
        </w:rPr>
      </w:pPr>
      <w:r w:rsidRPr="0059027D">
        <w:rPr>
          <w:rFonts w:ascii="Times New Roman" w:hAnsi="Times New Roman" w:cs="Times New Roman"/>
          <w:b/>
          <w:bCs/>
          <w:sz w:val="32"/>
          <w:szCs w:val="32"/>
        </w:rPr>
        <w:t>APÊNDICE F</w:t>
      </w:r>
    </w:p>
    <w:p w14:paraId="429E0025" w14:textId="77777777" w:rsidR="00EC0D1F" w:rsidRPr="0059027D" w:rsidRDefault="00000000" w:rsidP="0059027D">
      <w:pPr>
        <w:spacing w:after="240" w:line="360" w:lineRule="auto"/>
        <w:contextualSpacing/>
        <w:rPr>
          <w:rFonts w:ascii="Times New Roman" w:hAnsi="Times New Roman" w:cs="Times New Roman"/>
        </w:rPr>
      </w:pPr>
      <w:r w:rsidRPr="0059027D">
        <w:rPr>
          <w:rFonts w:ascii="Times New Roman" w:hAnsi="Times New Roman" w:cs="Times New Roman"/>
          <w:b/>
          <w:bCs/>
          <w:sz w:val="28"/>
          <w:szCs w:val="28"/>
        </w:rPr>
        <w:t>Guia de Validação Local da MARIAH pelos Comitês de Ética em Pesquisa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0D1F" w:rsidRPr="0059027D" w14:paraId="7D547F0B"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FEFEF"/>
            <w:tcMar>
              <w:top w:w="160" w:type="dxa"/>
              <w:left w:w="200" w:type="dxa"/>
              <w:bottom w:w="160" w:type="dxa"/>
              <w:right w:w="200" w:type="dxa"/>
            </w:tcMar>
          </w:tcPr>
          <w:p w14:paraId="427868F4" w14:textId="77777777" w:rsidR="00EC0D1F" w:rsidRPr="0059027D" w:rsidRDefault="00000000" w:rsidP="0059027D">
            <w:pPr>
              <w:spacing w:after="80" w:line="360" w:lineRule="auto"/>
              <w:contextualSpacing/>
              <w:rPr>
                <w:rFonts w:ascii="Times New Roman" w:hAnsi="Times New Roman" w:cs="Times New Roman"/>
              </w:rPr>
            </w:pPr>
            <w:r w:rsidRPr="0059027D">
              <w:rPr>
                <w:rFonts w:ascii="Times New Roman" w:hAnsi="Times New Roman" w:cs="Times New Roman"/>
                <w:b/>
                <w:bCs/>
              </w:rPr>
              <w:t>Quadro F.1  Guia de leitura do Apêndice F</w:t>
            </w:r>
          </w:p>
          <w:p w14:paraId="205F267E" w14:textId="78704A5E" w:rsidR="00EC0D1F" w:rsidRPr="0059027D" w:rsidRDefault="00000000" w:rsidP="0059027D">
            <w:pPr>
              <w:spacing w:line="360" w:lineRule="auto"/>
              <w:contextualSpacing/>
              <w:jc w:val="both"/>
              <w:rPr>
                <w:rFonts w:ascii="Times New Roman" w:hAnsi="Times New Roman" w:cs="Times New Roman"/>
              </w:rPr>
            </w:pPr>
            <w:r w:rsidRPr="0059027D">
              <w:rPr>
                <w:rFonts w:ascii="Times New Roman" w:hAnsi="Times New Roman" w:cs="Times New Roman"/>
              </w:rPr>
              <w:t xml:space="preserve">Este apêndice oferece um roteiro prático para Comitês de Ética em Pesquisa que decidam, por iniciativa institucional própria, validar a Matriz MARIAH na sua casuística. Não há plano nacional centralizado, não há adesão formal a consórcio, não há prazo de execução. Cada CEP roda o que lhe for útil, no ritmo que lhe couber. O retorno de resultados ao Grupo de Trabalho responsável pelo guia é facultativo e serve à evolução futura do instrumento. As três frentes propostas em F.2 </w:t>
            </w:r>
            <w:r w:rsidR="0046755D" w:rsidRPr="0059027D">
              <w:rPr>
                <w:rFonts w:ascii="Times New Roman" w:hAnsi="Times New Roman" w:cs="Times New Roman"/>
              </w:rPr>
              <w:t>(</w:t>
            </w:r>
            <w:r w:rsidRPr="0059027D">
              <w:rPr>
                <w:rFonts w:ascii="Times New Roman" w:hAnsi="Times New Roman" w:cs="Times New Roman"/>
              </w:rPr>
              <w:t>concordância entre avaliadores, distribuição empírica dos protocolos e convergência entre as duas versões da matriz</w:t>
            </w:r>
            <w:r w:rsidR="0046755D" w:rsidRPr="0059027D">
              <w:rPr>
                <w:rFonts w:ascii="Times New Roman" w:hAnsi="Times New Roman" w:cs="Times New Roman"/>
              </w:rPr>
              <w:t>)</w:t>
            </w:r>
            <w:r w:rsidRPr="0059027D">
              <w:rPr>
                <w:rFonts w:ascii="Times New Roman" w:hAnsi="Times New Roman" w:cs="Times New Roman"/>
              </w:rPr>
              <w:t xml:space="preserve"> podem ser executadas em conjunto ou separadamente. A planilha-modelo que acompanha este apêndice automatiza o registro e o cálculo dos indicadores e dispensa o uso de qualquer software estatístico especializado.</w:t>
            </w:r>
          </w:p>
        </w:tc>
      </w:tr>
    </w:tbl>
    <w:p w14:paraId="2C5D297F" w14:textId="77777777" w:rsidR="0059027D" w:rsidRPr="0059027D" w:rsidRDefault="00000000" w:rsidP="0059027D">
      <w:pPr>
        <w:pStyle w:val="Heading1"/>
        <w:spacing w:line="360" w:lineRule="auto"/>
        <w:contextualSpacing/>
        <w:jc w:val="both"/>
        <w:rPr>
          <w:rFonts w:ascii="Times New Roman" w:hAnsi="Times New Roman" w:cs="Times New Roman"/>
          <w:sz w:val="24"/>
          <w:szCs w:val="24"/>
        </w:rPr>
      </w:pPr>
      <w:r w:rsidRPr="0059027D">
        <w:rPr>
          <w:rFonts w:ascii="Times New Roman" w:hAnsi="Times New Roman" w:cs="Times New Roman"/>
          <w:sz w:val="24"/>
          <w:szCs w:val="24"/>
        </w:rPr>
        <w:t>F.1  Por que validar a MARIAH na sua casuística</w:t>
      </w:r>
    </w:p>
    <w:p w14:paraId="43F33605" w14:textId="77777777" w:rsidR="0059027D"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O Capítulo 7 deste guia é explícito ao posicionar a MARIAH como instrumento de apoio à deliberação do Comitê de Ética em Pesquisa, e não como norma que vincule sua decisão. A adoção da matriz é escolha institucional de cada CEP. Esse mesmo espírito orienta a validação: nenhum CEP é obrigado a validar a MARIAH, e nenhum CEP precisa esperar decisão central para fazê-lo. Quando o colegiado entender que vale a pena verificar como a matriz se comporta nos protocolos que efetivamente lhe são submetidos, este apêndice oferece um roteiro prático para conduzir essa verificação.</w:t>
      </w:r>
    </w:p>
    <w:p w14:paraId="231DBDD0" w14:textId="77777777" w:rsidR="0059027D"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Há três razões pelas quais um CEP pode querer fazer essa validação.</w:t>
      </w:r>
      <w:r w:rsidR="008768D1" w:rsidRPr="0059027D">
        <w:rPr>
          <w:rFonts w:ascii="Times New Roman" w:hAnsi="Times New Roman" w:cs="Times New Roman"/>
          <w:b w:val="0"/>
          <w:bCs w:val="0"/>
          <w:sz w:val="24"/>
          <w:szCs w:val="24"/>
        </w:rPr>
        <w:t xml:space="preserve"> </w:t>
      </w:r>
      <w:r w:rsidR="008768D1" w:rsidRPr="0059027D">
        <w:rPr>
          <w:rFonts w:ascii="Times New Roman" w:hAnsi="Times New Roman" w:cs="Times New Roman"/>
          <w:b w:val="0"/>
          <w:bCs w:val="0"/>
          <w:sz w:val="24"/>
          <w:szCs w:val="24"/>
        </w:rPr>
        <w:t>A primeira é o aprendizado institucional. A aplicação sistemática da matriz por dois ou mais membros do colegiado revela rapidamente quais perguntas estão sendo interpretadas de forma divergente, oferecendo insumo direto para a capacitação deliberativa descrita no Capítulo 9</w:t>
      </w:r>
      <w:r w:rsidRPr="0059027D">
        <w:rPr>
          <w:rFonts w:ascii="Times New Roman" w:hAnsi="Times New Roman" w:cs="Times New Roman"/>
          <w:b w:val="0"/>
          <w:bCs w:val="0"/>
          <w:sz w:val="24"/>
          <w:szCs w:val="24"/>
        </w:rPr>
        <w:t xml:space="preserve">. A segunda é de qualificação institucional do parecer. Um CEP que demonstre, com base na sua própria casuística, que aplica a MARIAH de modo consistente entre avaliadores, fortalece a credibilidade dos seus pareceres em protocolos com inteligência artificial perante pesquisadores, patrocinadores e a sociedade. A terceira é de contribuição opcional à evolução do instrumento. Os pontos de corte atuais da Versão B são, conforme o próprio Capítulo 7 reconhece, calibrações teóricas que </w:t>
      </w:r>
      <w:r w:rsidRPr="0059027D">
        <w:rPr>
          <w:rFonts w:ascii="Times New Roman" w:hAnsi="Times New Roman" w:cs="Times New Roman"/>
          <w:b w:val="0"/>
          <w:bCs w:val="0"/>
          <w:sz w:val="24"/>
          <w:szCs w:val="24"/>
        </w:rPr>
        <w:lastRenderedPageBreak/>
        <w:t>merecem ser testadas empiricamente. CEPs que queiram compartilhar suas observações com o Grupo de Trabalho responsável pelo guia podem fazê-lo pelo canal descrito em F.5.</w:t>
      </w:r>
    </w:p>
    <w:p w14:paraId="025E1DC0" w14:textId="37B7D972" w:rsidR="00EC0D1F"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Vale, antes do roteiro, uma advertência. Este apêndice não pretende transformar membros de CEP em estatísticos. As métricas propostas em F.4 são as mínimas necessárias para que o colegiado leia os próprios resultados com segurança, e a planilha-modelo que acompanha este apêndice calcula essas métricas automaticamente. O que se espera do CEP é a deliberação colegiada sobre o que os números mostram, não o cálculo dos números em si.</w:t>
      </w:r>
    </w:p>
    <w:p w14:paraId="3470EB79" w14:textId="77777777" w:rsidR="0059027D" w:rsidRDefault="00000000" w:rsidP="0059027D">
      <w:pPr>
        <w:pStyle w:val="Heading1"/>
        <w:spacing w:line="360" w:lineRule="auto"/>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F.2  O que pode ser validado em três frentes</w:t>
      </w:r>
    </w:p>
    <w:p w14:paraId="1C9AEF0A" w14:textId="78B78B88" w:rsidR="00EC0D1F"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2"/>
          <w:szCs w:val="22"/>
        </w:rPr>
        <w:t>O apêndice propõe três frentes independentes de validação. Cada CEP pode rodar uma, duas ou as três, em qualquer ordem. As três compartilham a mesma unidade amostral: o protocolo de pesquisa com uso de inteligência artificial submetido ao CEP.</w:t>
      </w:r>
    </w:p>
    <w:p w14:paraId="729F38AD" w14:textId="77777777" w:rsidR="0059027D" w:rsidRPr="0059027D" w:rsidRDefault="00000000" w:rsidP="0059027D">
      <w:pPr>
        <w:pStyle w:val="Heading2"/>
        <w:spacing w:line="360" w:lineRule="auto"/>
        <w:contextualSpacing/>
        <w:rPr>
          <w:rFonts w:ascii="Times New Roman" w:hAnsi="Times New Roman" w:cs="Times New Roman"/>
          <w:sz w:val="24"/>
          <w:szCs w:val="24"/>
        </w:rPr>
      </w:pPr>
      <w:r w:rsidRPr="0059027D">
        <w:rPr>
          <w:rFonts w:ascii="Times New Roman" w:hAnsi="Times New Roman" w:cs="Times New Roman"/>
          <w:sz w:val="24"/>
          <w:szCs w:val="24"/>
        </w:rPr>
        <w:t>F.2.1  Concordância entre avaliadores na Versão A</w:t>
      </w:r>
    </w:p>
    <w:p w14:paraId="04104B9F" w14:textId="0F07B571" w:rsidR="0059027D"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 xml:space="preserve">A primeira frente verifica se dois ou mais </w:t>
      </w:r>
      <w:r w:rsidR="0059027D">
        <w:rPr>
          <w:rFonts w:ascii="Times New Roman" w:hAnsi="Times New Roman" w:cs="Times New Roman"/>
          <w:b w:val="0"/>
          <w:bCs w:val="0"/>
          <w:sz w:val="24"/>
          <w:szCs w:val="24"/>
        </w:rPr>
        <w:t>integrantes</w:t>
      </w:r>
      <w:r w:rsidRPr="0059027D">
        <w:rPr>
          <w:rFonts w:ascii="Times New Roman" w:hAnsi="Times New Roman" w:cs="Times New Roman"/>
          <w:b w:val="0"/>
          <w:bCs w:val="0"/>
          <w:sz w:val="24"/>
          <w:szCs w:val="24"/>
        </w:rPr>
        <w:t xml:space="preserve"> do CEP, ao aplicarem a Versão A da MARIAH ao mesmo protocolo de forma independente, chegam à mesma classificação. É a frente operacionalmente mais simples e a que rende, do ponto de vista de aprendizado institucional, o retorno mais imediato. O colegiado descobre rapidamente em quais eixos há leitura convergente e em quais há discordância sistemática, o que orienta diretamente o que precisa ser conversado em reunião plenária.</w:t>
      </w:r>
    </w:p>
    <w:p w14:paraId="446735B5" w14:textId="2FAFBDC7" w:rsidR="00EC0D1F"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A recomendação é de pelo menos vinte protocolos avaliados em paralelo por dois membros do CEP, em condições de cegamento mútuo, antes de qualquer deliberação colegiada. Vinte é um piso prudente para que a estimativa de concordância tenha estabilidade mínima; CEPs com volume maior de protocolos com IA podem ampliar essa marca sem prejuízo, e CEPs com volume menor podem ir acumulando avaliações ao longo do tempo, sem prazo, até atingir essa marca.</w:t>
      </w:r>
    </w:p>
    <w:p w14:paraId="78843FAD" w14:textId="77777777" w:rsidR="0059027D" w:rsidRDefault="0059027D" w:rsidP="0059027D">
      <w:pPr>
        <w:pStyle w:val="Heading2"/>
        <w:spacing w:line="360" w:lineRule="auto"/>
        <w:contextualSpacing/>
        <w:rPr>
          <w:rFonts w:ascii="Times New Roman" w:hAnsi="Times New Roman" w:cs="Times New Roman"/>
        </w:rPr>
      </w:pPr>
    </w:p>
    <w:p w14:paraId="53864999" w14:textId="61C25D5A" w:rsidR="0059027D" w:rsidRDefault="00000000" w:rsidP="0059027D">
      <w:pPr>
        <w:pStyle w:val="Heading2"/>
        <w:spacing w:line="360" w:lineRule="auto"/>
        <w:contextualSpacing/>
        <w:rPr>
          <w:rFonts w:ascii="Times New Roman" w:hAnsi="Times New Roman" w:cs="Times New Roman"/>
        </w:rPr>
      </w:pPr>
      <w:r w:rsidRPr="0059027D">
        <w:rPr>
          <w:rFonts w:ascii="Times New Roman" w:hAnsi="Times New Roman" w:cs="Times New Roman"/>
        </w:rPr>
        <w:t>F.2.2  Distribuição empírica dos protocolos nos quatro níveis</w:t>
      </w:r>
    </w:p>
    <w:p w14:paraId="7F87E3E0" w14:textId="77777777" w:rsidR="0059027D"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 xml:space="preserve">A segunda frente examina como os protocolos avaliados pelo CEP se distribuem nos quatro níveis da MARIAH. Há dois usos principais para essa informação. O primeiro é descritivo. O CEP passa a conhecer o perfil da sua casuística em pesquisa com inteligência artificial: se a maioria dos protocolos se concentra no Nível II, se há protocolos no Nível IV, se a distribuição mudou ao longo do tempo. Essa informação é insumo de planejamento institucional e de capacitação do colegiado. O segundo uso é diagnóstico. </w:t>
      </w:r>
      <w:r w:rsidR="008768D1" w:rsidRPr="0059027D">
        <w:rPr>
          <w:rFonts w:ascii="Times New Roman" w:hAnsi="Times New Roman" w:cs="Times New Roman"/>
          <w:b w:val="0"/>
          <w:bCs w:val="0"/>
          <w:sz w:val="24"/>
          <w:szCs w:val="24"/>
        </w:rPr>
        <w:t xml:space="preserve">Quando a distribuição se concentra perto de um ponto de corte da </w:t>
      </w:r>
      <w:r w:rsidR="008768D1" w:rsidRPr="0059027D">
        <w:rPr>
          <w:rFonts w:ascii="Times New Roman" w:hAnsi="Times New Roman" w:cs="Times New Roman"/>
          <w:b w:val="0"/>
          <w:bCs w:val="0"/>
          <w:sz w:val="24"/>
          <w:szCs w:val="24"/>
        </w:rPr>
        <w:lastRenderedPageBreak/>
        <w:t>Versão B, o colegiado tem evidência local de que pequenas variações na pontuação podem deslocar muitos protocolos de nível, o que justifica examinar com mais atenção os casos limítrofes</w:t>
      </w:r>
      <w:r w:rsidR="008768D1" w:rsidRPr="0059027D">
        <w:rPr>
          <w:rFonts w:ascii="Times New Roman" w:hAnsi="Times New Roman" w:cs="Times New Roman"/>
          <w:b w:val="0"/>
          <w:bCs w:val="0"/>
          <w:sz w:val="24"/>
          <w:szCs w:val="24"/>
        </w:rPr>
        <w:t>.</w:t>
      </w:r>
    </w:p>
    <w:p w14:paraId="6121D562" w14:textId="2361F1D9" w:rsidR="00EC0D1F"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A recomendação operacional é registrar a pontuação total e a pontuação por bloco de todos os protocolos aos quais o CEP aplicar a Versão B, sem critério de inclusão específico. A planilha-modelo produz automaticamente o histograma e identifica concentrações próximas aos pontos de corte.</w:t>
      </w:r>
    </w:p>
    <w:p w14:paraId="44DD4D6C" w14:textId="77777777" w:rsidR="0059027D" w:rsidRDefault="0059027D" w:rsidP="0059027D">
      <w:pPr>
        <w:pStyle w:val="Heading2"/>
        <w:spacing w:line="360" w:lineRule="auto"/>
        <w:contextualSpacing/>
        <w:rPr>
          <w:rFonts w:ascii="Times New Roman" w:hAnsi="Times New Roman" w:cs="Times New Roman"/>
        </w:rPr>
      </w:pPr>
    </w:p>
    <w:p w14:paraId="6D0C0FCC" w14:textId="77777777" w:rsidR="0059027D" w:rsidRDefault="00000000" w:rsidP="0059027D">
      <w:pPr>
        <w:pStyle w:val="Heading2"/>
        <w:spacing w:line="360" w:lineRule="auto"/>
        <w:contextualSpacing/>
        <w:rPr>
          <w:rFonts w:ascii="Times New Roman" w:hAnsi="Times New Roman" w:cs="Times New Roman"/>
        </w:rPr>
      </w:pPr>
      <w:r w:rsidRPr="0059027D">
        <w:rPr>
          <w:rFonts w:ascii="Times New Roman" w:hAnsi="Times New Roman" w:cs="Times New Roman"/>
        </w:rPr>
        <w:t>F.2.3  Convergência entre Versões A e B no modo triagem</w:t>
      </w:r>
    </w:p>
    <w:p w14:paraId="1077BA41" w14:textId="77777777" w:rsidR="00CF61F7"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 xml:space="preserve">A terceira frente examina se a Versão A e a Versão B, aplicadas ao mesmo protocolo no modo triagem previsto pelo Capítulo 7, convergem para a mesma classificação de risco. Quando o CEP usa rotineiramente o modo triagem </w:t>
      </w:r>
      <w:r w:rsidR="008768D1" w:rsidRPr="00CF61F7">
        <w:rPr>
          <w:rFonts w:ascii="Times New Roman" w:hAnsi="Times New Roman" w:cs="Times New Roman"/>
          <w:b w:val="0"/>
          <w:bCs w:val="0"/>
          <w:sz w:val="24"/>
          <w:szCs w:val="24"/>
        </w:rPr>
        <w:t>(</w:t>
      </w:r>
      <w:r w:rsidRPr="00CF61F7">
        <w:rPr>
          <w:rFonts w:ascii="Times New Roman" w:hAnsi="Times New Roman" w:cs="Times New Roman"/>
          <w:b w:val="0"/>
          <w:bCs w:val="0"/>
          <w:sz w:val="24"/>
          <w:szCs w:val="24"/>
        </w:rPr>
        <w:t>Versão A como filtro inicial e Versão B em casos de Nível III ou Nível IV</w:t>
      </w:r>
      <w:r w:rsidR="008768D1" w:rsidRPr="00CF61F7">
        <w:rPr>
          <w:rFonts w:ascii="Times New Roman" w:hAnsi="Times New Roman" w:cs="Times New Roman"/>
          <w:b w:val="0"/>
          <w:bCs w:val="0"/>
          <w:sz w:val="24"/>
          <w:szCs w:val="24"/>
        </w:rPr>
        <w:t>)</w:t>
      </w:r>
      <w:r w:rsidRPr="00CF61F7">
        <w:rPr>
          <w:rFonts w:ascii="Times New Roman" w:hAnsi="Times New Roman" w:cs="Times New Roman"/>
          <w:b w:val="0"/>
          <w:bCs w:val="0"/>
          <w:sz w:val="24"/>
          <w:szCs w:val="24"/>
        </w:rPr>
        <w:t xml:space="preserve"> basta registrar as duas classificações em paralelo. Discordâncias sistemáticas entre as duas versões, quando ocorrem, são informação valiosa: ou indicam que o CEP está lendo de modo inconsistente as duas versões, ou indicam que as duas versões captam dimensões diferentes do risco no protocolo. Em ambos os casos, o colegiado tem material concreto para discutir e, se for o caso, reportar ao Grupo de Trabalho.</w:t>
      </w:r>
    </w:p>
    <w:p w14:paraId="609BD020" w14:textId="77777777" w:rsidR="00CF61F7" w:rsidRPr="00CF61F7" w:rsidRDefault="00CF61F7" w:rsidP="00CF61F7">
      <w:pPr>
        <w:pStyle w:val="Heading2"/>
        <w:spacing w:line="360" w:lineRule="auto"/>
        <w:contextualSpacing/>
        <w:jc w:val="both"/>
        <w:rPr>
          <w:rFonts w:ascii="Times New Roman" w:hAnsi="Times New Roman" w:cs="Times New Roman"/>
          <w:b w:val="0"/>
          <w:bCs w:val="0"/>
          <w:sz w:val="24"/>
          <w:szCs w:val="24"/>
        </w:rPr>
      </w:pPr>
    </w:p>
    <w:p w14:paraId="05350FC3" w14:textId="77777777" w:rsidR="00CF61F7" w:rsidRPr="00CF61F7" w:rsidRDefault="00000000" w:rsidP="00CF61F7">
      <w:pPr>
        <w:pStyle w:val="Heading2"/>
        <w:spacing w:line="360" w:lineRule="auto"/>
        <w:contextualSpacing/>
        <w:jc w:val="both"/>
        <w:rPr>
          <w:rFonts w:ascii="Times New Roman" w:hAnsi="Times New Roman" w:cs="Times New Roman"/>
          <w:sz w:val="24"/>
          <w:szCs w:val="24"/>
        </w:rPr>
      </w:pPr>
      <w:r w:rsidRPr="00CF61F7">
        <w:rPr>
          <w:rFonts w:ascii="Times New Roman" w:hAnsi="Times New Roman" w:cs="Times New Roman"/>
          <w:sz w:val="24"/>
          <w:szCs w:val="24"/>
        </w:rPr>
        <w:t>F.3  Como conduzir cada frente</w:t>
      </w:r>
    </w:p>
    <w:p w14:paraId="2AA9A82C" w14:textId="77777777" w:rsidR="00CF61F7"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O roteiro a seguir cobre as três frentes em um único fluxo. Cada CEP adapta o fluxo à sua dinâmica.</w:t>
      </w:r>
    </w:p>
    <w:p w14:paraId="37F5B9D0" w14:textId="11537DC4" w:rsidR="00CF61F7"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O primeiro passo é definir o período de coleta. Pode ser um trimestre, um semestre ou aberto. O importante é o CEP saber que, durante esse período, os protocolos com inteligência artificial recebidos serão objeto também do exercício de validação, em paralelo ao parecer ordinário. A coleta não altera o fluxo do parecer institucional</w:t>
      </w:r>
      <w:r w:rsidR="00640741">
        <w:rPr>
          <w:rFonts w:ascii="Times New Roman" w:hAnsi="Times New Roman" w:cs="Times New Roman"/>
          <w:b w:val="0"/>
          <w:bCs w:val="0"/>
          <w:sz w:val="24"/>
          <w:szCs w:val="24"/>
        </w:rPr>
        <w:t xml:space="preserve"> do SINEP</w:t>
      </w:r>
      <w:r w:rsidRPr="00CF61F7">
        <w:rPr>
          <w:rFonts w:ascii="Times New Roman" w:hAnsi="Times New Roman" w:cs="Times New Roman"/>
          <w:b w:val="0"/>
          <w:bCs w:val="0"/>
          <w:sz w:val="24"/>
          <w:szCs w:val="24"/>
        </w:rPr>
        <w:t>.</w:t>
      </w:r>
    </w:p>
    <w:p w14:paraId="083790F9" w14:textId="77777777" w:rsidR="00CF61F7" w:rsidRPr="00CF61F7" w:rsidRDefault="00000000" w:rsidP="00CF61F7">
      <w:pPr>
        <w:pStyle w:val="Heading2"/>
        <w:spacing w:line="360" w:lineRule="auto"/>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O segundo passo é constituir a dupla ou trio de avaliadores. A recomendação é que pelo menos dois membros do colegiado apliquem a Versão A de forma independente, sem consulta prévia entre si, e que um terceiro membro aplique a Versão B em separado. Avaliadores podem se revezar a cada protocolo; o que importa é a independência da aplicação dentro de cada protocolo. Não é necessário que o avaliador da Versão B seja o relator do parecer institucional.</w:t>
      </w:r>
    </w:p>
    <w:p w14:paraId="266ABF4D" w14:textId="77777777" w:rsidR="00CF61F7" w:rsidRPr="00CF61F7" w:rsidRDefault="00000000" w:rsidP="00640741">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 xml:space="preserve">O terceiro passo é registrar as avaliações na planilha-modelo. A planilha tem aba específica para cada frente. Cada protocolo recebe um identificador interno do CEP que dispensa qualquer </w:t>
      </w:r>
      <w:r w:rsidRPr="00CF61F7">
        <w:rPr>
          <w:rFonts w:ascii="Times New Roman" w:hAnsi="Times New Roman" w:cs="Times New Roman"/>
          <w:b w:val="0"/>
          <w:bCs w:val="0"/>
          <w:sz w:val="24"/>
          <w:szCs w:val="24"/>
        </w:rPr>
        <w:lastRenderedPageBreak/>
        <w:t>informação que permita identificar pesquisador, instituição proponente ou patrocinador. A planilha não pede esses dados. O registro mínimo é o identificador, a data e as respostas dos avaliadores nas perguntas da matriz. As fórmulas calculam a classificação consolidada, a pontuação total e os indicadores agregados das três frentes.</w:t>
      </w:r>
    </w:p>
    <w:p w14:paraId="34400538" w14:textId="79C8C642" w:rsidR="00EC0D1F"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O quarto passo é a deliberação colegiada sobre os achados. Recomenda-se reunião dedicada, ao final do período de coleta ou periodicamente durante ele, para que o colegiado discuta o que os indicadores estão mostrando. A planilha gera um painel-resumo que apoia essa discussão. A deliberação é o ponto central do exercício; os números são insumo, não conclusão.</w:t>
      </w:r>
    </w:p>
    <w:p w14:paraId="079A321F" w14:textId="77777777" w:rsidR="00640741" w:rsidRPr="00640741" w:rsidRDefault="00000000" w:rsidP="00640741">
      <w:pPr>
        <w:pStyle w:val="Heading1"/>
        <w:spacing w:line="360" w:lineRule="auto"/>
        <w:contextualSpacing/>
        <w:jc w:val="both"/>
        <w:rPr>
          <w:rFonts w:ascii="Times New Roman" w:hAnsi="Times New Roman" w:cs="Times New Roman"/>
          <w:sz w:val="24"/>
          <w:szCs w:val="24"/>
        </w:rPr>
      </w:pPr>
      <w:r w:rsidRPr="00640741">
        <w:rPr>
          <w:rFonts w:ascii="Times New Roman" w:hAnsi="Times New Roman" w:cs="Times New Roman"/>
          <w:sz w:val="24"/>
          <w:szCs w:val="24"/>
        </w:rPr>
        <w:t>F.4  Como interpretar os achados</w:t>
      </w:r>
    </w:p>
    <w:p w14:paraId="7DEBC8D6" w14:textId="77777777" w:rsidR="00640741" w:rsidRPr="00640741" w:rsidRDefault="00000000" w:rsidP="00640741">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A interpretação dos achados não exige conhecimento estatístico avançado. Para as três frentes propostas, três leituras básicas bastam.</w:t>
      </w:r>
    </w:p>
    <w:p w14:paraId="66B8EAB3" w14:textId="61AE7C84" w:rsidR="00EC0D1F" w:rsidRPr="00640741" w:rsidRDefault="00000000" w:rsidP="00640741">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Para a frente de concordância entre avaliadores, o indicador principal é a estatística kappa de Cohen, calculada automaticamente pela planilha. A Tabela F.1 oferece a leitura prática dos valores observados. O colegiado lê o valor de kappa por eixo da Versão A e por classificação consolidada, identifica os eixos com kappa baixo e discute, em plenária, os casos de discordância naqueles eixos.</w:t>
      </w:r>
    </w:p>
    <w:p w14:paraId="5F10B755" w14:textId="77777777" w:rsidR="00EC0D1F" w:rsidRPr="0059027D" w:rsidRDefault="00000000" w:rsidP="0059027D">
      <w:pPr>
        <w:spacing w:before="120" w:after="80" w:line="360" w:lineRule="auto"/>
        <w:contextualSpacing/>
        <w:rPr>
          <w:rFonts w:ascii="Times New Roman" w:hAnsi="Times New Roman" w:cs="Times New Roman"/>
        </w:rPr>
      </w:pPr>
      <w:r w:rsidRPr="0059027D">
        <w:rPr>
          <w:rFonts w:ascii="Times New Roman" w:hAnsi="Times New Roman" w:cs="Times New Roman"/>
          <w:b/>
          <w:bCs/>
        </w:rPr>
        <w:t>Tabela F.1  Leitura prática dos valores de kappa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EC0D1F" w:rsidRPr="0059027D" w14:paraId="37C77CD9" w14:textId="77777777">
        <w:tblPrEx>
          <w:tblCellMar>
            <w:top w:w="0" w:type="dxa"/>
            <w:bottom w:w="0" w:type="dxa"/>
          </w:tblCellMar>
        </w:tblPrEx>
        <w:trPr>
          <w:tblHeader/>
        </w:trPr>
        <w:tc>
          <w:tcPr>
            <w:tcW w:w="234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1F561DB5"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b/>
                <w:bCs/>
                <w:sz w:val="20"/>
                <w:szCs w:val="20"/>
              </w:rPr>
              <w:t>Valor de kappa</w:t>
            </w:r>
          </w:p>
        </w:tc>
        <w:tc>
          <w:tcPr>
            <w:tcW w:w="702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45BE7CD3"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b/>
                <w:bCs/>
                <w:sz w:val="20"/>
                <w:szCs w:val="20"/>
              </w:rPr>
              <w:t>Leitura prática</w:t>
            </w:r>
          </w:p>
        </w:tc>
      </w:tr>
      <w:tr w:rsidR="00EC0D1F" w:rsidRPr="0059027D" w14:paraId="18074D75"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B0D74A2"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Abaixo de 0,40</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E4068F5"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Concordância insuficiente. O eixo ou bloco merece revisão pelo colegiado: as perguntas estão sendo lidas de modo divergente, e isso é informação valiosa para discutir em plenária.</w:t>
            </w:r>
          </w:p>
        </w:tc>
      </w:tr>
      <w:tr w:rsidR="00EC0D1F" w:rsidRPr="0059027D" w14:paraId="70731912"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B333BCC"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Entre 0,40 e 0,60</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789E717" w14:textId="1A64E0F0"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Concordância moderada. Identifique os casos de discordância e use-os como pauta de reunião</w:t>
            </w:r>
            <w:r w:rsidR="003C2BBA">
              <w:rPr>
                <w:rFonts w:ascii="Times New Roman" w:hAnsi="Times New Roman" w:cs="Times New Roman"/>
                <w:sz w:val="20"/>
                <w:szCs w:val="20"/>
              </w:rPr>
              <w:t>, porque</w:t>
            </w:r>
            <w:r w:rsidRPr="0059027D">
              <w:rPr>
                <w:rFonts w:ascii="Times New Roman" w:hAnsi="Times New Roman" w:cs="Times New Roman"/>
                <w:sz w:val="20"/>
                <w:szCs w:val="20"/>
              </w:rPr>
              <w:t xml:space="preserve"> são exatamente os casos limítrofes que o Cap. 9 trata como formadores do comitê.</w:t>
            </w:r>
          </w:p>
        </w:tc>
      </w:tr>
      <w:tr w:rsidR="00EC0D1F" w:rsidRPr="0059027D" w14:paraId="33EC6E11"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A95BED4"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Entre 0,60 e 0,80</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DC68516"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Concordância substancial. A aplicação está consistente. Pequenas discordâncias residuais são esperadas e saudáveis.</w:t>
            </w:r>
          </w:p>
        </w:tc>
      </w:tr>
      <w:tr w:rsidR="00EC0D1F" w:rsidRPr="0059027D" w14:paraId="02504E0A"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0474A2F"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0,80 ou acima</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9F5B5E8"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Concordância quase perfeita. A aplicação está estabilizada. Cuidado, porém: kappas muito altos em todos os eixos podem indicar que os avaliadores estão deliberando entre si antes de registrar as respostas, o que esvazia o exercício.</w:t>
            </w:r>
          </w:p>
        </w:tc>
      </w:tr>
    </w:tbl>
    <w:p w14:paraId="5DCE976B" w14:textId="77777777" w:rsidR="00EC0D1F" w:rsidRPr="0059027D" w:rsidRDefault="00000000" w:rsidP="0059027D">
      <w:pPr>
        <w:spacing w:after="200" w:line="360" w:lineRule="auto"/>
        <w:contextualSpacing/>
        <w:rPr>
          <w:rFonts w:ascii="Times New Roman" w:hAnsi="Times New Roman" w:cs="Times New Roman"/>
        </w:rPr>
      </w:pPr>
      <w:r w:rsidRPr="0059027D">
        <w:rPr>
          <w:rFonts w:ascii="Times New Roman" w:hAnsi="Times New Roman" w:cs="Times New Roman"/>
          <w:i/>
          <w:iCs/>
          <w:sz w:val="18"/>
          <w:szCs w:val="18"/>
        </w:rPr>
        <w:t>Fonte: Adaptado de Landis e Koch (1977).</w:t>
      </w:r>
    </w:p>
    <w:p w14:paraId="5993D025" w14:textId="10F55CC4" w:rsidR="00EC0D1F" w:rsidRPr="0059027D" w:rsidRDefault="00000000" w:rsidP="00640741">
      <w:pPr>
        <w:spacing w:after="160" w:line="360" w:lineRule="auto"/>
        <w:ind w:firstLine="720"/>
        <w:contextualSpacing/>
        <w:jc w:val="both"/>
        <w:rPr>
          <w:rFonts w:ascii="Times New Roman" w:hAnsi="Times New Roman" w:cs="Times New Roman"/>
        </w:rPr>
      </w:pPr>
      <w:r w:rsidRPr="0059027D">
        <w:rPr>
          <w:rFonts w:ascii="Times New Roman" w:hAnsi="Times New Roman" w:cs="Times New Roman"/>
        </w:rPr>
        <w:lastRenderedPageBreak/>
        <w:t xml:space="preserve">Para a frente de distribuição empírica, a leitura é visual. </w:t>
      </w:r>
      <w:r w:rsidR="00640741">
        <w:rPr>
          <w:rFonts w:ascii="Times New Roman" w:hAnsi="Times New Roman" w:cs="Times New Roman"/>
        </w:rPr>
        <w:t xml:space="preserve">O colegiado analisa o histograma da planilha para verificar a concentração de protocolos em algum nível, a proximidade com os pontos de corte e a presença de bimodalidade (dois picos separados por um vale). </w:t>
      </w:r>
      <w:r w:rsidRPr="0059027D">
        <w:rPr>
          <w:rFonts w:ascii="Times New Roman" w:hAnsi="Times New Roman" w:cs="Times New Roman"/>
        </w:rPr>
        <w:t>Concentração próxima aos pontos de corte é alerta de que pequenas variações na aplicação da matriz produzem mudanças de nível. Bimodalidade marcada é evidência local de que o ponto de corte natural na casuística do CEP pode diferir do ponto teórico vigente.</w:t>
      </w:r>
    </w:p>
    <w:p w14:paraId="5761A165" w14:textId="77777777" w:rsidR="00640741" w:rsidRDefault="00640741" w:rsidP="00640741">
      <w:pPr>
        <w:spacing w:after="160" w:line="360" w:lineRule="auto"/>
        <w:ind w:firstLine="720"/>
        <w:contextualSpacing/>
        <w:jc w:val="both"/>
        <w:rPr>
          <w:rFonts w:ascii="Times New Roman" w:hAnsi="Times New Roman" w:cs="Times New Roman"/>
        </w:rPr>
      </w:pPr>
      <w:r>
        <w:rPr>
          <w:rFonts w:ascii="Times New Roman" w:hAnsi="Times New Roman" w:cs="Times New Roman"/>
        </w:rPr>
        <w:t>A leitura é tabular para a frente de convergência entre versões. A planilha gera uma tabela de contingência quatro por quatro que cruza as classificações da Versão A e da Versão B no modo triagem.  Alta convergência ocorre quando a diagonal principal concentra mais de oitenta por cento dos protocolos.  Padrões de discordância, que exigem exame qualitativo dos protocolos correspondentes, surgem quando há concentração em pares específicos fora da diagonal, como Nível II na Versão A e Nível III na Versão B.</w:t>
      </w:r>
    </w:p>
    <w:p w14:paraId="51CA182C" w14:textId="308AC984" w:rsidR="00EC0D1F" w:rsidRPr="00640741" w:rsidRDefault="00000000" w:rsidP="00640741">
      <w:pPr>
        <w:spacing w:after="160" w:line="360" w:lineRule="auto"/>
        <w:ind w:firstLine="720"/>
        <w:contextualSpacing/>
        <w:jc w:val="both"/>
        <w:rPr>
          <w:rFonts w:ascii="Times New Roman" w:hAnsi="Times New Roman" w:cs="Times New Roman"/>
          <w:sz w:val="24"/>
          <w:szCs w:val="24"/>
        </w:rPr>
      </w:pPr>
      <w:r w:rsidRPr="00640741">
        <w:rPr>
          <w:rFonts w:ascii="Times New Roman" w:hAnsi="Times New Roman" w:cs="Times New Roman"/>
          <w:sz w:val="24"/>
          <w:szCs w:val="24"/>
        </w:rPr>
        <w:t>A planilha não impõe interpretação ao colegiado. Os indicadores são apresentados com leitura sugerida, mas a deliberação sobre o que fazer com eles é decisão institucional do CEP.</w:t>
      </w:r>
    </w:p>
    <w:p w14:paraId="4B21B3A3" w14:textId="77777777" w:rsidR="00640741" w:rsidRDefault="00000000" w:rsidP="00640741">
      <w:pPr>
        <w:pStyle w:val="Heading1"/>
        <w:spacing w:line="360" w:lineRule="auto"/>
        <w:contextualSpacing/>
        <w:rPr>
          <w:rFonts w:ascii="Times New Roman" w:hAnsi="Times New Roman" w:cs="Times New Roman"/>
          <w:sz w:val="24"/>
          <w:szCs w:val="24"/>
        </w:rPr>
      </w:pPr>
      <w:r w:rsidRPr="00640741">
        <w:rPr>
          <w:rFonts w:ascii="Times New Roman" w:hAnsi="Times New Roman" w:cs="Times New Roman"/>
          <w:sz w:val="24"/>
          <w:szCs w:val="24"/>
        </w:rPr>
        <w:t>F.5  Quando e como compartilhar resultados com o Grupo de Trabalho</w:t>
      </w:r>
    </w:p>
    <w:p w14:paraId="2EACA152" w14:textId="6AD13706" w:rsidR="00640741" w:rsidRPr="00640741"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CEPs que decidirem compartilhar suas observações com o Grupo de Trabalho responsável pelo guia podem fazê-lo a qualquer momento</w:t>
      </w:r>
      <w:r w:rsidR="003C2BBA">
        <w:rPr>
          <w:rFonts w:ascii="Times New Roman" w:hAnsi="Times New Roman" w:cs="Times New Roman"/>
          <w:b w:val="0"/>
          <w:bCs w:val="0"/>
          <w:sz w:val="24"/>
          <w:szCs w:val="24"/>
        </w:rPr>
        <w:t xml:space="preserve"> por meio da Secretaria Executiva da INAEP (se.inaep@saude.gov.br)</w:t>
      </w:r>
      <w:r w:rsidRPr="00640741">
        <w:rPr>
          <w:rFonts w:ascii="Times New Roman" w:hAnsi="Times New Roman" w:cs="Times New Roman"/>
          <w:b w:val="0"/>
          <w:bCs w:val="0"/>
          <w:sz w:val="24"/>
          <w:szCs w:val="24"/>
        </w:rPr>
        <w:t>. Não há prazo, não há formulário obrigatório, não há contrapartida institucional. O compartilhamento é ato voluntário, e seu único propósito é informar a evolução futura do instrumento.</w:t>
      </w:r>
    </w:p>
    <w:p w14:paraId="7D91D8B7" w14:textId="77777777" w:rsidR="00640741" w:rsidRPr="00640741"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O canal sugerido é o envio da planilha-modelo, preenchida e com identificação institucional do CEP, para o endereço eletrônico do Grupo de Trabalho indicado na página oficial do guia. O envio pode ser feito em qualquer formato que o CEP preferir: a planilha completa, um resumo dos indicadores agregados ou apenas uma nota narrativa descrevendo o que o colegiado observou. CEPs que tenham preocupação com a confidencialidade de informações institucionais podem encaminhar apenas os indicadores agregados, sem os registros por protocolo.</w:t>
      </w:r>
    </w:p>
    <w:p w14:paraId="2585514B" w14:textId="2DB7C1C8" w:rsidR="00EC0D1F" w:rsidRPr="00640741"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O Grupo de Trabalho consolidará as contribuições recebidas e as utilizará, em conjunto com outras fontes de evidência, para informar eventuais revisões da matriz em ciclos futuros de atualização do guia. As contribuições não terão atribuição nominal sem autorização expressa do CEP remetente, e nenhum CEP será identificado em publicação derivada sem seu consentimento institucional.</w:t>
      </w:r>
    </w:p>
    <w:p w14:paraId="5A3270C9" w14:textId="77777777" w:rsidR="00640741" w:rsidRDefault="00640741" w:rsidP="003C2BBA">
      <w:pPr>
        <w:pStyle w:val="Heading1"/>
        <w:spacing w:line="360" w:lineRule="auto"/>
        <w:contextualSpacing/>
        <w:jc w:val="both"/>
        <w:rPr>
          <w:rFonts w:ascii="Times New Roman" w:hAnsi="Times New Roman" w:cs="Times New Roman"/>
        </w:rPr>
      </w:pPr>
    </w:p>
    <w:p w14:paraId="7C5EE980" w14:textId="77777777" w:rsidR="00640741" w:rsidRDefault="00640741" w:rsidP="003C2BBA">
      <w:pPr>
        <w:pStyle w:val="Heading1"/>
        <w:spacing w:line="360" w:lineRule="auto"/>
        <w:contextualSpacing/>
        <w:jc w:val="both"/>
        <w:rPr>
          <w:rFonts w:ascii="Times New Roman" w:hAnsi="Times New Roman" w:cs="Times New Roman"/>
        </w:rPr>
      </w:pPr>
    </w:p>
    <w:p w14:paraId="2756E750" w14:textId="77777777" w:rsidR="00640741" w:rsidRPr="003C2BBA" w:rsidRDefault="00000000" w:rsidP="003C2BBA">
      <w:pPr>
        <w:pStyle w:val="Heading1"/>
        <w:spacing w:line="360" w:lineRule="auto"/>
        <w:contextualSpacing/>
        <w:jc w:val="both"/>
        <w:rPr>
          <w:rFonts w:ascii="Times New Roman" w:hAnsi="Times New Roman" w:cs="Times New Roman"/>
          <w:sz w:val="24"/>
          <w:szCs w:val="24"/>
        </w:rPr>
      </w:pPr>
      <w:r w:rsidRPr="003C2BBA">
        <w:rPr>
          <w:rFonts w:ascii="Times New Roman" w:hAnsi="Times New Roman" w:cs="Times New Roman"/>
          <w:sz w:val="24"/>
          <w:szCs w:val="24"/>
        </w:rPr>
        <w:t>F.6  Recursos disponíveis</w:t>
      </w:r>
    </w:p>
    <w:p w14:paraId="16308A11" w14:textId="77777777" w:rsidR="00640741" w:rsidRPr="003C2BBA"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Acompanha este apêndice uma planilha-modelo em formato .xlsx, com abas dedicadas a cada uma das três frentes de validação, fórmulas pré-configuradas para cálculo dos indicadores e painel-resumo com leitura sugerida. A planilha pode ser usada em qualquer software compatível, como Microsoft Excel, LibreOffice Calc ou Google Sheets, e não requer instalação de qualquer extensão estatística.</w:t>
      </w:r>
    </w:p>
    <w:p w14:paraId="6BBF4EB2" w14:textId="77777777" w:rsidR="00640741" w:rsidRPr="003C2BBA"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O software MARIAH, descrito no Capítulo 7 e disponibilizado como Software Público Brasileiro, oferece uma camada operacional complementar: a aplicação das matrizes diretamente em formato digital, com exportação de relatórios padronizados. CEPs que prefiram operar o exercício de validação em ambiente digital podem fazê-lo exportando os relatórios e transferindo os dados para a planilha-modelo deste apêndice. O repositório oficial do software fica em github.com/Tonaco-13.</w:t>
      </w:r>
    </w:p>
    <w:p w14:paraId="414D99F2" w14:textId="041D1BC7" w:rsidR="00EC0D1F" w:rsidRPr="003C2BBA"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Dúvidas operacionais sobre a aplicação deste roteiro podem ser encaminhadas, junto com observações e sugestões, pelo canal indicado em F.5.</w:t>
      </w:r>
    </w:p>
    <w:p w14:paraId="7924713F" w14:textId="77777777" w:rsidR="003C2BBA" w:rsidRDefault="003C2BBA" w:rsidP="003C2BBA">
      <w:pPr>
        <w:pStyle w:val="Heading1"/>
        <w:spacing w:line="360" w:lineRule="auto"/>
        <w:contextualSpacing/>
        <w:jc w:val="both"/>
        <w:rPr>
          <w:rFonts w:ascii="Times New Roman" w:hAnsi="Times New Roman" w:cs="Times New Roman"/>
          <w:b w:val="0"/>
          <w:bCs w:val="0"/>
          <w:sz w:val="24"/>
          <w:szCs w:val="24"/>
        </w:rPr>
      </w:pPr>
    </w:p>
    <w:p w14:paraId="71611443" w14:textId="34534254" w:rsidR="003C2BBA" w:rsidRPr="003C2BBA" w:rsidRDefault="00000000" w:rsidP="003C2BBA">
      <w:pPr>
        <w:pStyle w:val="Heading1"/>
        <w:spacing w:line="360" w:lineRule="auto"/>
        <w:contextualSpacing/>
        <w:jc w:val="both"/>
        <w:rPr>
          <w:rFonts w:ascii="Times New Roman" w:hAnsi="Times New Roman" w:cs="Times New Roman"/>
          <w:sz w:val="24"/>
          <w:szCs w:val="24"/>
        </w:rPr>
      </w:pPr>
      <w:r w:rsidRPr="003C2BBA">
        <w:rPr>
          <w:rFonts w:ascii="Times New Roman" w:hAnsi="Times New Roman" w:cs="Times New Roman"/>
          <w:sz w:val="24"/>
          <w:szCs w:val="24"/>
        </w:rPr>
        <w:t>Referências</w:t>
      </w:r>
    </w:p>
    <w:p w14:paraId="43683A0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BRASIL. Conselho Nacional de Saúde. Resolução n.º 466, de 12 de dezembro de 2012. Brasília: Ministério da Saúde, 2012.</w:t>
      </w:r>
    </w:p>
    <w:p w14:paraId="1787695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BRASIL. Conselho Nacional de Saúde. Resolução n.º 510, de 7 de abril de 2016. Brasília: Ministério da Saúde, 2016.</w:t>
      </w:r>
    </w:p>
    <w:p w14:paraId="7032C6D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BRASIL. Conselho Nacional de Saúde. Resolução n.º 738, de 8 de novembro de 2024. Brasília: Ministério da Saúde, 2024.</w:t>
      </w:r>
    </w:p>
    <w:p w14:paraId="49364F02"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COHEN, J. A coefficient of agreement for nominal scales. Educational and Psychological Measurement, v. 20, n. 1, p. 37–46, 1960.</w:t>
      </w:r>
    </w:p>
    <w:p w14:paraId="4CE3D7C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LANDIS, J. R.; KOCH, G. G. The measurement of observer agreement for categorical data. Biometrics, v. 33, n. 1, p. 159–174, 1977.</w:t>
      </w:r>
    </w:p>
    <w:p w14:paraId="7FFE3BE0" w14:textId="6733E4F7" w:rsidR="00EC0D1F" w:rsidRP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SAMUELS, R.; OLIVEIRA, A. S. (Org.). Diretrizes éticas para pesquisa com inteligência artificial: guia para Comitês de Ética em Pesquisa. Brasília: Ministério da Saúde, no prelo. Capítulos 7 e 9.</w:t>
      </w:r>
    </w:p>
    <w:sectPr w:rsidR="00EC0D1F" w:rsidRPr="003C2BB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001F8" w14:textId="77777777" w:rsidR="00DC5EF2" w:rsidRDefault="00DC5EF2">
      <w:r>
        <w:separator/>
      </w:r>
    </w:p>
  </w:endnote>
  <w:endnote w:type="continuationSeparator" w:id="0">
    <w:p w14:paraId="4FD45C45" w14:textId="77777777" w:rsidR="00DC5EF2" w:rsidRDefault="00DC5E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C33FB" w14:textId="77777777" w:rsidR="00EC0D1F" w:rsidRDefault="00000000">
    <w:pPr>
      <w:jc w:val="center"/>
    </w:pPr>
    <w:r>
      <w:rPr>
        <w:color w:val="666666"/>
        <w:sz w:val="18"/>
        <w:szCs w:val="18"/>
      </w:rPr>
      <w:t xml:space="preserve">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8768D1">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85EE3" w14:textId="77777777" w:rsidR="00DC5EF2" w:rsidRDefault="00DC5EF2">
      <w:r>
        <w:separator/>
      </w:r>
    </w:p>
  </w:footnote>
  <w:footnote w:type="continuationSeparator" w:id="0">
    <w:p w14:paraId="010CA110" w14:textId="77777777" w:rsidR="00DC5EF2" w:rsidRDefault="00DC5E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6A81E" w14:textId="77777777" w:rsidR="00EC0D1F" w:rsidRDefault="00000000">
    <w:pPr>
      <w:jc w:val="right"/>
    </w:pPr>
    <w:r>
      <w:rPr>
        <w:color w:val="666666"/>
        <w:sz w:val="18"/>
        <w:szCs w:val="18"/>
      </w:rPr>
      <w:t>Guia de Diretrizes Éticas para Pesquisa com IA  ·  Apêndice F</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00752C"/>
    <w:multiLevelType w:val="hybridMultilevel"/>
    <w:tmpl w:val="EE9A3C32"/>
    <w:lvl w:ilvl="0" w:tplc="DADCC27C">
      <w:start w:val="1"/>
      <w:numFmt w:val="bullet"/>
      <w:lvlText w:val="●"/>
      <w:lvlJc w:val="left"/>
      <w:pPr>
        <w:ind w:left="720" w:hanging="360"/>
      </w:pPr>
    </w:lvl>
    <w:lvl w:ilvl="1" w:tplc="CBDEABEC">
      <w:start w:val="1"/>
      <w:numFmt w:val="bullet"/>
      <w:lvlText w:val="○"/>
      <w:lvlJc w:val="left"/>
      <w:pPr>
        <w:ind w:left="1440" w:hanging="360"/>
      </w:pPr>
    </w:lvl>
    <w:lvl w:ilvl="2" w:tplc="EAEE319C">
      <w:start w:val="1"/>
      <w:numFmt w:val="bullet"/>
      <w:lvlText w:val="■"/>
      <w:lvlJc w:val="left"/>
      <w:pPr>
        <w:ind w:left="2160" w:hanging="360"/>
      </w:pPr>
    </w:lvl>
    <w:lvl w:ilvl="3" w:tplc="98929672">
      <w:start w:val="1"/>
      <w:numFmt w:val="bullet"/>
      <w:lvlText w:val="●"/>
      <w:lvlJc w:val="left"/>
      <w:pPr>
        <w:ind w:left="2880" w:hanging="360"/>
      </w:pPr>
    </w:lvl>
    <w:lvl w:ilvl="4" w:tplc="14E288C6">
      <w:start w:val="1"/>
      <w:numFmt w:val="bullet"/>
      <w:lvlText w:val="○"/>
      <w:lvlJc w:val="left"/>
      <w:pPr>
        <w:ind w:left="3600" w:hanging="360"/>
      </w:pPr>
    </w:lvl>
    <w:lvl w:ilvl="5" w:tplc="8ABA9910">
      <w:start w:val="1"/>
      <w:numFmt w:val="bullet"/>
      <w:lvlText w:val="■"/>
      <w:lvlJc w:val="left"/>
      <w:pPr>
        <w:ind w:left="4320" w:hanging="360"/>
      </w:pPr>
    </w:lvl>
    <w:lvl w:ilvl="6" w:tplc="8D56844A">
      <w:start w:val="1"/>
      <w:numFmt w:val="bullet"/>
      <w:lvlText w:val="●"/>
      <w:lvlJc w:val="left"/>
      <w:pPr>
        <w:ind w:left="5040" w:hanging="360"/>
      </w:pPr>
    </w:lvl>
    <w:lvl w:ilvl="7" w:tplc="B158F9D0">
      <w:start w:val="1"/>
      <w:numFmt w:val="bullet"/>
      <w:lvlText w:val="●"/>
      <w:lvlJc w:val="left"/>
      <w:pPr>
        <w:ind w:left="5760" w:hanging="360"/>
      </w:pPr>
    </w:lvl>
    <w:lvl w:ilvl="8" w:tplc="23E6A6D8">
      <w:start w:val="1"/>
      <w:numFmt w:val="bullet"/>
      <w:lvlText w:val="●"/>
      <w:lvlJc w:val="left"/>
      <w:pPr>
        <w:ind w:left="6480" w:hanging="360"/>
      </w:pPr>
    </w:lvl>
  </w:abstractNum>
  <w:num w:numId="1" w16cid:durableId="20135580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D1F"/>
    <w:rsid w:val="003C2BBA"/>
    <w:rsid w:val="00421661"/>
    <w:rsid w:val="0046755D"/>
    <w:rsid w:val="0059027D"/>
    <w:rsid w:val="00640741"/>
    <w:rsid w:val="008768D1"/>
    <w:rsid w:val="00CF61F7"/>
    <w:rsid w:val="00DC5EF2"/>
    <w:rsid w:val="00EC0D1F"/>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4:docId w14:val="4C8CB04C"/>
  <w15:docId w15:val="{61D05A85-218A-F74A-A09F-F7B51DB51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0"/>
      <w:szCs w:val="30"/>
    </w:rPr>
  </w:style>
  <w:style w:type="paragraph" w:styleId="Heading2">
    <w:name w:val="heading 2"/>
    <w:uiPriority w:val="9"/>
    <w:unhideWhenUsed/>
    <w:qFormat/>
    <w:pPr>
      <w:spacing w:before="280" w:after="160"/>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6</Pages>
  <Words>1952</Words>
  <Characters>11890</Characters>
  <Application>Microsoft Office Word</Application>
  <DocSecurity>0</DocSecurity>
  <Lines>237</Lines>
  <Paragraphs>131</Paragraphs>
  <ScaleCrop>false</ScaleCrop>
  <HeadingPairs>
    <vt:vector size="2" baseType="variant">
      <vt:variant>
        <vt:lpstr>Title</vt:lpstr>
      </vt:variant>
      <vt:variant>
        <vt:i4>1</vt:i4>
      </vt:variant>
    </vt:vector>
  </HeadingPairs>
  <TitlesOfParts>
    <vt:vector size="1" baseType="lpstr">
      <vt:lpstr>Apêndice F — Guia de Validação Local da MARIAH pelos CEPs</vt:lpstr>
    </vt:vector>
  </TitlesOfParts>
  <Company/>
  <LinksUpToDate>false</LinksUpToDate>
  <CharactersWithSpaces>13711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Apêndice F — Guia de Validação Local da MARIAH pelos CEPs</dc:title>
  <dc:creator>Fabiano Tonaco Borges</dc:creator>
  <dc:description>Apêndice ao Guia de Diretrizes Éticas para Pesquisa com Inteligência Artificial</dc:description>
  <cp:lastModifiedBy>Fabiano Tonaco Borges</cp:lastModifiedBy>
  <cp:revision>4</cp:revision>
  <dcterms:created xsi:type="dcterms:W3CDTF">2026-05-26T13:46:00Z</dcterms:created>
  <dcterms:modified xsi:type="dcterms:W3CDTF">2026-05-27T11:50:00Z</dcterms:modified>
</cp:coreProperties>
</file>