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  <w:jc w:val="center"/>
      </w:pPr>
      <w:r>
        <w:rPr>
          <w:rFonts w:ascii="Arial" w:cs="Arial" w:eastAsia="Arial" w:hAnsi="Arial"/>
          <w:b/>
          <w:bCs/>
          <w:color w:val="0F766E"/>
          <w:sz w:val="48"/>
          <w:szCs w:val="48"/>
        </w:rPr>
        <w:t xml:space="preserve">MARIAH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Instruções de Preenchimento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Versão A — Qualitativa</w:t>
      </w:r>
    </w:p>
    <w:p>
      <w:pPr>
        <w:spacing w:after="4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Fluxograma de avaliação por eixos temáticos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B66"/>
          <w:sz w:val="18"/>
          <w:szCs w:val="18"/>
        </w:rPr>
        <w:t xml:space="preserve">Matriz de Avaliação de Risco de Inteligência Artificial em Pesquisa com Seres Humanos</w:t>
      </w:r>
    </w:p>
    <w:p>
      <w:pPr>
        <w:pBdr>
          <w:bottom w:val="single" w:color="0F766E" w:sz="10" w:space="6"/>
        </w:pBdr>
        <w:spacing w:after="240"/>
        <w:jc w:val="center"/>
      </w:pPr>
      <w:r>
        <w:rPr>
          <w:rFonts w:ascii="Arial" w:cs="Arial" w:eastAsia="Arial" w:hAnsi="Arial"/>
          <w:color w:val="555B66"/>
          <w:sz w:val="16"/>
          <w:szCs w:val="16"/>
        </w:rPr>
        <w:t xml:space="preserve">Versão preliminar — em revisão pelo GT do Ministério da Saúde · Junho de 2026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1. Como funciona a Versão A</w:t>
      </w:r>
    </w:p>
    <w:p>
      <w:pPr>
        <w:spacing w:after="120" w:before="0" w:line="252"/>
      </w:pPr>
      <w:r>
        <w:rPr>
          <w:rFonts w:ascii="Arial" w:cs="Arial" w:eastAsia="Arial" w:hAnsi="Arial"/>
        </w:rPr>
        <w:t xml:space="preserve">A Versão A é qualitativa: um fluxograma de avaliação organizado em eixos temáticos. Para cada questão, o avaliador responde Sim ou Não. Em cada eixo conta-se o número de respostas que indicam risco; dessa contagem decorre o nível do eixo. O nível final do protocolo é o maior nível observado entre todos os eixos aplicáveis — a regra do máximo, deliberadamente conservadora.</w:t>
      </w:r>
    </w:p>
    <w:p>
      <w:pPr>
        <w:spacing w:after="120" w:before="0" w:line="252"/>
      </w:pPr>
      <w:r>
        <w:rPr>
          <w:rFonts w:ascii="Arial" w:cs="Arial" w:eastAsia="Arial" w:hAnsi="Arial"/>
        </w:rPr>
        <w:t xml:space="preserve">Cada questão tem uma “resposta de risco” — a alternativa (Sim ou Não) que sinaliza risco, indicada na coluna “Item”. Algumas questões aceitam “Não se aplica” (N/A), tratada como não-risco. As questões eliminatórias, quando respondidas no sentido de risco, tornam o protocolo “não avaliável pela MARIAH” (§7.3.6), o que sobrescreve a contagem e exige análise individualizada do colegiado.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Passo 0 — Filtro de banco de dados (Res. CNS n.º 738/2024)</w:t>
      </w:r>
    </w:p>
    <w:p>
      <w:pPr>
        <w:spacing w:after="120" w:before="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 protocolo utiliza banco de dados — próprio, de outra pesquisa ou de instituição externa?</w:t>
      </w:r>
    </w:p>
    <w:p>
      <w:pPr>
        <w:spacing w:after="120" w:before="0" w:line="252"/>
      </w:pPr>
      <w:r>
        <w:rPr>
          <w:rFonts w:ascii="Arial" w:cs="Arial" w:eastAsia="Arial" w:hAnsi="Arial"/>
          <w:sz w:val="19"/>
          <w:szCs w:val="19"/>
        </w:rPr>
        <w:t xml:space="preserve">Este filtro ativa a subseção Res. CNS n.º 738/2024 (Eixo 3.b na Versão A e Bloco 6.b na Versão B). Bancos abrangem dados coletados fora do escopo direto de cada participante desta pesquisa. Não marque "Sim" quando o protocolo coleta dados exclusivamente no escopo da pesquisa com cada participante.</w:t>
      </w:r>
    </w:p>
    <w:p>
      <w:pPr>
        <w:pBdr>
          <w:left w:val="single" w:color="D9A441" w:sz="18" w:space="8"/>
        </w:pBdr>
        <w:shd w:fill="FBF3E2" w:val="clear"/>
        <w:spacing w:after="140" w:before="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Se a resposta ao Passo 0 for “Sim”, aplica-se também o Eixo 3.b (Res. CNS n.º 738/2024). Se for “Não”, o Eixo 3.b é ignorado.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Regra de consolidação por contagem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Respostas de risco no eixo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 do eixo — regra geral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Eixo 3.b — Res. 738</w:t>
            </w:r>
          </w:p>
        </w:tc>
      </w:tr>
      <w:tr>
        <w:tc>
          <w:tcPr>
            <w:tcW w:type="dxa" w:w="30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 (baixo)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 — não eleva</w:t>
            </w:r>
          </w:p>
        </w:tc>
      </w:tr>
      <w:tr>
        <w:tc>
          <w:tcPr>
            <w:tcW w:type="dxa" w:w="30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 a 2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II (moderado)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III (alto)</w:t>
            </w:r>
          </w:p>
        </w:tc>
      </w:tr>
      <w:tr>
        <w:tc>
          <w:tcPr>
            <w:tcW w:type="dxa" w:w="30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 a 4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III (alto)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IV (crítico)</w:t>
            </w:r>
          </w:p>
        </w:tc>
      </w:tr>
      <w:tr>
        <w:tc>
          <w:tcPr>
            <w:tcW w:type="dxa" w:w="30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 ou mais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IV (crítico)</w:t>
            </w:r>
          </w:p>
        </w:tc>
        <w:tc>
          <w:tcPr>
            <w:tcW w:type="dxa" w:w="3013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IV (crítico)</w:t>
            </w:r>
          </w:p>
        </w:tc>
      </w:tr>
    </w:tbl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Observações: (i) no Eixo 3.b o Nível II é deliberadamente saltado — uma única resposta de risco já leva o eixo ao Nível III; (ii) o nível final do protocolo é o maior entre os eixos aplicáveis; (iii) questão eliminatória respondida no sentido de risco → “não avaliável pela MARIAH”.</w:t>
      </w:r>
    </w:p>
    <w:p>
      <w:pPr>
        <w:pStyle w:val="Heading1"/>
        <w:pageBreakBefore/>
        <w:spacing w:after="14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2. Questões por eixo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Eixo 1: Natureza e Autonomia do Sistema</w:t>
      </w:r>
    </w:p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Avalia o grau de autonomia do sistema, sua capacidade adaptativa e os riscos associados à sua natureza técnica.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toma decisões ou emite recomendações sem intervenção humana obrigatória antes da execução?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revisão humana obrigatória antes da execução, não há barreira de segurança entre a recomendação do sistema e a ação sobre o participante — um erro chega ao participante sem filtro. Quanto maior a autonomia decisória, maior o risco.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é adaptativo — aprende ou se atualiza com novos dados após o início do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Sistemas que aprendem ou se atualizam durante o estudo podem mudar de comportamento ao longo do tempo, gerando resultados diferentes dos validados no início — o que introduz incerteza sobre o que o participante de fato receberá.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 caso de falha ou erro do sistema, o dano ao participante seria de difícil reversão?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o erro do sistema produz dano de difícil reversão (ex.: conduta cirúrgica indevida), o risco é maior do que em danos reparáveis, porque a correção posterior não restaura o participante ao estado anterior.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foi desenvolvido e validado fora do contexto em que será utilizado neste protocolo?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Um sistema desenvolvido e validado em outro contexto (outra população, outro cenário assistencial) pode não manter o desempenho na realidade deste protocolo, gerando erros não detectados na validação original.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profissional responsável tem acesso às informações necessárias para contestar a recomendação do sistema?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 o profissional não tem acesso às informações necessárias para contestar a recomendação, a supervisão humana é apenas simbólica — existe no papel, mas não barra um erro. É a ausência desse acesso que eleva o risco.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define claramente o que acontece quando a decisão do sistema diverge do julgamento humano?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regra definida para quando a decisão do sistema diverge do julgamento humano, cria-se uma zona cinzenta de responsabilidade que pode atrasar a correção e prejudicar o participante.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é explicável — é possível compreender por que chegou a determinado resultado?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Sistemas opacos (caixa-preta) dificultam identificar vieses e erros e atribuir responsabilidade. A falta de explicabilidade reduz a capacidade de supervisão — é o que caracteriza o risco aqui.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foi submetido a testes de desempenho documentados antes do uso no protocolo?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testes de desempenho documentados antes do uso, não há evidência de que o sistema é seguro e eficaz no contexto proposto; o protocolo passa a depender de um desempenho presumido, não demonstrado.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Eixo 2: Impacto sobre a Pessoa Participante</w:t>
      </w:r>
    </w:p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Avalia os potenciais danos físicos, psíquicos, sociais e econômicos ao participante, bem como a proteção de populações vulneráveis.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influencia diretamente decisões clínicas ou terapêuticas sobre o participante?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o sistema influencia diretamente decisões clínicas ou terapêuticas, um erro se traduz em conduta inadequada sobre o participante — o impacto potencial sobre a pessoa é maior.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pode causar dano físico ao participante em caso de erro?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possibilidade de dano físico em caso de erro é a forma mais grave de impacto e exige mecanismos robustos de segurança e supervisão.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pode causar dano psíquico, social ou econômico ao participante em caso de erro?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Danos não físicos — psíquicos, sociais ou econômicos — também são eticamente relevantes, sobretudo quando afetam a vida social, o emprego ou a renda do participante.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envolve populações vulneráveis: crianças, gestantes, idosos, pessoas com deficiência, povos indígenas ou comunidades em situação de vulnerabilidade socioeconômica?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Populações vulneráveis (crianças, gestantes, idosos, pessoas com deficiência, povos indígenas, vulnerabilidade socioeconômica) exigem proteção adicional, pois podem ter menor capacidade de compreender riscos ou contestar decisões.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infere características sensíveis do participante: raça/cor, etnia, condição de saúde, orientação sexual, que não foram explicitamente coletadas?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Inferir características sensíveis (raça/cor, etnia, saúde, orientação sexual) que não foram explicitamente coletadas contraria a autonomia informativa do participante e pode gerar discriminação.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efeitos de um erro do sistema sobre o participante são reversíveis?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pergunta verifica a reversibilidade: quando os efeitos de um erro NÃO são reversíveis, o risco aumenta de forma significativa, pois não há reparação integral possível.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TCLE informa ao participante, de forma compreensível, que um sistema de IA será utilizado no protocolo e qual é o seu papel?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 o TCLE não informa, de forma compreensível, que um sistema de IA será usado e qual o seu papel, viola-se a transparência e a autonomia — o participante consente sem saber a que está consentindo.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mecanismo para que o participante solicite a exclusão de seus dados do processo de treinamento ou retreinamento do modelo?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mecanismo para o participante solicitar a exclusão de seus dados do treinamento/retreinamento, ele perde o controle sobre os próprios dados após o consentimento.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2.9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como os resultados gerados pela IA serão comunicados ao participante, quando aplicável?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ausência de descrição sobre como os resultados da IA serão comunicados ao participante compromete a transparência e o exercício da autonomia.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Eixo 3: Sensibilidade e Governança dos Dados</w:t>
      </w:r>
    </w:p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Avalia o grau de sensibilidade dos dados processados, a conformidade com a LGPD e os mecanismos de proteção de dados.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processa dados pessoais sensíveis: saúde, genética, biometria, raça/cor, etnia, religião, vida sexual?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 processamento de dados pessoais sensíveis (saúde, genética, biometria, raça/cor, etnia, religião, vida sexual) exige proteção reforçada e base legal específica na LGPD; o risco à privacidade é inerentemente maior.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são transferidos ou processados em servidores fora do Brasil?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Transferir ou processar dados em servidores fora do Brasil exige avaliar a adequação do país de destino e adotar salvaguardas adicionais, pois reduz a governança nacional sobre os dados.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consentimento obtido cobre explicitamente o uso dos dados para treinamento ou retreinamento de modelos de 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Consentimento genérico não basta para treinar ou retreinar modelos: é preciso consentimento específico e informado para esse uso. A ausência dele é o que configura o risco.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demonstra conformidade com a LGPD: base legal identificada, finalidade declarada, Encarregado de Dados (DPO) indicado?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base legal identificada, finalidade declarada e Encarregado (DPO) indicado, o protocolo não demonstra conformidade com a LGPD, expondo participantes e instituição a riscos legais e éticos.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Existe risco real de reidentificação dos participantes a partir dos dados utilizados ou gerados pelo sistema?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há risco real de reidentificação a partir dos dados usados ou gerados, a promessa de anonimato fica comprometida e os danos potenciais à privacidade aumentam.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plano de resposta a incidentes de segurança envolvendo os dados processados pela 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plano de resposta a incidentes de segurança, um vazamento ou acesso indevido pode não ser contido a tempo, agravando os danos aos participantes.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treinamento do modelo foram coletados com consentimento compatível com o uso previsto neste protocolo?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 os dados de treinamento foram coletados para outra finalidade, podem não ter base legal para uso em IA neste protocolo, caracterizando uso secundário inadequado.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como os dados serão armazenados, por quanto tempo e como serão descartados ao final do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ausência de política de armazenamento, retenção e descarte abre espaço para uso indevido dos dados depois de encerrado o estudo.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Eixo 3.b: Bancos de Dados de Pesquisa (Res. CNS n.º 738/2024)</w:t>
      </w:r>
    </w:p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Subseção aplicável quando o protocolo utiliza bancos de dados (próprios, de outra pesquisa ou de instituição externa). Deriva da Resolução CNS n.º 738/2024 e complementa o Eixo 3. Pode elevar o nível consolidado do protocolo.</w:t>
      </w:r>
    </w:p>
    <w:p>
      <w:pPr>
        <w:spacing w:after="40" w:before="0" w:line="252"/>
      </w:pPr>
      <w:r>
        <w:rPr>
          <w:rFonts w:ascii="Arial" w:cs="Arial" w:eastAsia="Arial" w:hAnsi="Arial"/>
          <w:i/>
          <w:iCs/>
          <w:color w:val="555B66"/>
          <w:sz w:val="17"/>
          <w:szCs w:val="17"/>
        </w:rPr>
        <w:t xml:space="preserve">Referência normativa: Resolução CNS n.º 738/2024</w:t>
      </w:r>
    </w:p>
    <w:p>
      <w:pPr>
        <w:pBdr>
          <w:left w:val="single" w:color="D9A441" w:sz="18" w:space="8"/>
        </w:pBdr>
        <w:shd w:fill="FBF3E2" w:val="clear"/>
        <w:spacing w:after="140" w:before="8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Eixo condicional: aplicado apenas quando o Passo 0 indica uso de banco de dados. Regra de elevação especial (0 → não eleva; 1–2 → III; 3+ → IV).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3.b.1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identifica o Controlador do banco de dados (Art. 3.º, IV da Res. CNS n.º 738/2024), com cargo, função e instituição vinculada?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Identifica o Controlador do banco (Arts. 3.º, IV e 9.º da Res. CNS n.º 738/2024), com cargo, função e instituição. Sem isso, não há cadeia de custódia formalizada sobre os dados. No Eixo 3.b (Salvaguarda da Res. 738), uma única resposta de risco já leva o eixo ao Nível III — não há categoria intermediária para bancos de dados.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3.b.2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Eliminatória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2400E"/>
                <w:sz w:val="15"/>
                <w:szCs w:val="15"/>
              </w:rPr>
              <w:t xml:space="preserve">• Aceita “Não se aplica”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 o banco foi constituído fora do âmbito de pesquisa (origem não-investigativa: prontuários, registros, bases administrativas): há Termo de Anuência Institucional (Art. 27, VI da Res. CNS n.º 738/2024) assinado pelo responsável (dirigente ou pessoa por ele delegada) da instituição detentora dos dados?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Verifica o Termo de Anuência Institucional (Art. 27, VI da Res. CNS n.º 738/2024), assinado pelo responsável (dirigente ou pessoa por ele delegada) da instituição de onde os dados provêm — exigível apenas para banco constituído fora do âmbito de pesquisa (origem não-investigativa: prontuários, registros, bases administrativas). Salvaguarda de Inavaliabilidade: nesse caso, sua ausência torna o protocolo "não avaliável pela MARIAH" (§7.3.6), sobrescrevendo a classificação e exigindo análise individualizada do CEP. Marque "Não se aplica" quando o banco foi constituído no âmbito de pesquisa — inclusive reuso de banco de pesquisa anterior do próprio pesquisador —, hipótese regida pelo Art. 24 (Termo de Compromisso de Uso de Dados), que não exige Anuência.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3.b.3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Termo de Compromisso de Uso de Dados (Arts. 24, V e 27, V da Res. CNS n.º 738/2024), assinado pelos pesquisadores, consta do dossiê do protocolo?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Confirma o Termo de Compromisso de Uso de Dados, assinado pelos pesquisadores (Arts. 24, V e 27, V da Res. CNS n.º 738/2024), que assumem responsabilidade sobre finalidade, confidencialidade e descarte. É distinto do Termo de Anuência (3.b.2): o Compromisso é dos pesquisadores; a Anuência, do responsável (dirigente ou pessoa por ele delegada) da instituição detentora. No Eixo 3.b, uma única resposta de risco já eleva o eixo ao Nível III.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3.b.4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 há pedido de dispensa de TCLE para uso futuro de dados: o enquadramento é fundamentado em uma das cinco situações do Art. 20 da Res. CNS n.º 738/2024?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dispensa de TCLE para uso futuro só é legítima quando enquadrada em uma das cinco hipóteses taxativas do Art. 20 da Res. CNS n.º 738/2024; justificativa genérica não basta. No Eixo 3.b, uma única resposta de risco já leva o eixo ao Nível III.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3.b.5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 o protocolo é multicêntrico ou envolve mais de uma instituição: a controladoria conjunta está formalizada em Termo de Acordo Institucional (Art. 3.º, XVI e §2.º do Art. 12 da Res. CNS n.º 738/2024)?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 pesquisa multicêntrica, a controladoria conjunta dos dados deve estar formalizada em Termo de Acordo Institucional (Art. 3.º, XVI e §2.º do Art. 12 da Res. CNS n.º 738/2024). No Eixo 3.b, uma única resposta de risco já leva o eixo ao Nível III.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Eixo 4: Representatividade e Transferibilidade</w:t>
      </w:r>
    </w:p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Avalia se os dados de treinamento representam adequadamente a população-alvo e se o modelo foi validado no contexto de uso.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treinamento do modelo incluem representação adequada da diversidade da população-alvo deste protocolo — raça/cor, etnia, gênero, faixa etária, região geográfica?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 os dados de treinamento não representam a diversidade da população-alvo (raça/cor, etnia, gênero, idade, região), o modelo pode produzir resultados enviesados e discriminatórios para os subgrupos sub-representados.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modelo foi desenvolvido fora do Brasil para uso em população brasileira sem validação local documentada?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Um modelo desenvolvido fora do Brasil e usado em população brasileira sem validação local pode não refletir o perfil epidemiológico e socioeconômico nacional, degradando o desempenho real.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apresenta avaliação de desempenho do modelo por subgrupos populacionais relevantes?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avaliação de desempenho por subgrupos populacionais relevantes, disparidades que afetam grupos específicos passam despercebidas — o desempenho médio pode esconder falhas localizadas.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modelo foi treinado predominantemente em dados de populações de alta renda ou de países do hemisfério norte?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Modelos treinados predominantemente em populações de alta renda ou do hemisfério norte podem não representar a realidade socioeconômica e epidemiológica brasileira.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descreve os dados usados no treinamento do modelo: origem, período de coleta, critérios de inclusão e exclusão?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 descrição de origem, período de coleta e critérios de inclusão/exclusão dos dados de treinamento é o que permite avaliar a qualidade e a representatividade do modelo; sua ausência impede esse julgamento.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Os dados de teste do modelo são independentes dos dados de treinamento?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 os dados de teste não são independentes dos de treinamento, o desempenho relatado tende a ser superestimado e não se confirma no uso real.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monitoramento de degradação de desempenho do modelo ao longo do tempo (deriva de dados - data drift) caso seja utilizado em contexto de aplicação continuada?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Em uso continuado, sem monitorar a deriva de dados (data drift) o modelo pode degradar silenciosamente, gerando resultados cada vez menos confiáveis sem que a equipe perceba.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desempenho do modelo foi validado em contexto assistencial comparável ao SUS ou ao sistema de saúde em que será utilizado?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Validação em contexto diferente não garante desempenho adequado no cenário real de uso; a aderência ao contexto assistencial (ex.: SUS) é o que sustenta a transferibilidade.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Eixo 5: Supervisão Humana e Explicabilidade</w:t>
      </w:r>
    </w:p>
    <w:p>
      <w:pPr>
        <w:spacing w:after="60" w:before="0" w:line="252"/>
      </w:pPr>
      <w:r>
        <w:rPr>
          <w:rFonts w:ascii="Arial" w:cs="Arial" w:eastAsia="Arial" w:hAnsi="Arial"/>
          <w:sz w:val="19"/>
          <w:szCs w:val="19"/>
        </w:rPr>
        <w:t xml:space="preserve">Avalia a existência de mecanismos de supervisão humana, explicabilidade do sistema e procedimentos de contingência.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7206"/>
      </w:tblGrid>
      <w:tr>
        <w:trPr>
          <w:tblHeader/>
        </w:trP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Pergunta e orientação para preenchimento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5.1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garante que um profissional habilitado revisa e pode contestar toda decisão gerada pelo sistema antes de sua execução?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revisão humana obrigatória (human-in-the-loop) que possa contestar a decisão antes da execução, o participante fica exposto a erros sem barreira de segurança.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Sim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opera como único determinante de uma decisão — sem revisão humana obrigatória?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Quando o sistema opera como único determinante da decisão, sem revisão humana obrigatória, atinge-se o maior nível de risco para o participante.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define responsabilidade humana clara em caso de erro ou dano decorrente do uso do sistema?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responsabilidade humana clara em caso de erro ou dano, instala-se uma zona de impunidade que enfraquece a proteção do participante.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5.4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 equipe responsável pelo estudo tem competência técnica suficiente para interpretar os resultados do sistema e identificar falhas?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competência técnica para interpretar resultados e identificar falhas, a equipe não exerce supervisão real sobre o sistema.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5.5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sistema fornece, junto a cada resultado, uma explicação compreensível sobre os fatores que influenciaram aquele resultado?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uma explicação compreensível junto a cada resultado, a supervisão humana e a detecção de vieses ficam prejudicadas.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5.6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monitoramento contínuo do desempenho do sistema após o início do uso, com critérios definidos para interrupção?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monitoramento contínuo e critérios definidos de interrupção, o sistema pode degradar sem detecção, mantendo participantes expostos.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5.7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Existe procedimento documentado para o caso de falha, indisponibilidade ou resultado inconsistente do sistema durante o estudo?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procedimento documentado para falha, indisponibilidade ou resultado inconsistente, decisões passam a ser improvisadas em momentos críticos.</w:t>
            </w:r>
          </w:p>
        </w:tc>
      </w:tr>
      <w:tr>
        <w:tc>
          <w:tcPr>
            <w:tcW w:type="dxa" w:w="182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5.8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555B66"/>
                <w:sz w:val="16"/>
                <w:szCs w:val="16"/>
              </w:rPr>
              <w:t xml:space="preserve">Resposta de risco: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</w:p>
        </w:tc>
        <w:tc>
          <w:tcPr>
            <w:tcW w:type="dxa" w:w="720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protocolo prevê como e quando o modelo será retreinado, e quem autoriza essa atualização?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Orientação. </w:t>
            </w:r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Sem definir como, quando e quem autoriza o retreinamento, o comportamento do sistema pode mudar de forma imprevisível ao longo do estudo.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ageBreakBefore/>
        <w:spacing w:after="140"/>
      </w:pPr>
      <w:r>
        <w:rPr>
          <w:rFonts w:ascii="Arial" w:cs="Arial" w:eastAsia="Arial" w:hAnsi="Arial"/>
          <w:b/>
          <w:bCs/>
          <w:color w:val="0F766E"/>
          <w:sz w:val="30"/>
          <w:szCs w:val="30"/>
        </w:rPr>
        <w:t xml:space="preserve">3. Como ler o resultado</w:t>
      </w:r>
    </w:p>
    <w:p>
      <w:pPr>
        <w:spacing w:after="80" w:before="0" w:line="252"/>
      </w:pPr>
      <w:r>
        <w:rPr>
          <w:rFonts w:ascii="Arial" w:cs="Arial" w:eastAsia="Arial" w:hAnsi="Arial"/>
        </w:rPr>
        <w:t xml:space="preserve">O nível final corresponde ao maior nível entre os eixos aplicáveis. Os quatro níveis e seus significados: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6626"/>
      </w:tblGrid>
      <w:tr>
        <w:trPr>
          <w:tblHeader/>
        </w:trP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Rótulo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Baixo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baixo — requisitos mínimos de documentação e transparência.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II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Moderado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moderado — exige descrição do sistema e conformidade com a LGPD.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III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alto — exige validação técnica, análise por subgrupos e supervisão humana efetiva.</w:t>
            </w:r>
          </w:p>
        </w:tc>
      </w:tr>
      <w:tr>
        <w:tc>
          <w:tcPr>
            <w:tcW w:type="dxa" w:w="9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IV</w:t>
            </w:r>
          </w:p>
        </w:tc>
        <w:tc>
          <w:tcPr>
            <w:tcW w:type="dxa" w:w="1500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Crítico</w:t>
            </w:r>
          </w:p>
        </w:tc>
        <w:tc>
          <w:tcPr>
            <w:tcW w:type="dxa" w:w="6626"/>
            <w:tcBorders>
              <w:top w:val="single" w:color="BFD7E2" w:sz="1"/>
              <w:left w:val="single" w:color="BFD7E2" w:sz="1"/>
              <w:bottom w:val="single" w:color="BFD7E2" w:sz="1"/>
              <w:right w:val="single" w:color="BFD7E2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Risco crítico — exige parecer técnico externo, monitoramento contínuo e notificação à ANVISA quando aplicável.</w:t>
            </w:r>
          </w:p>
        </w:tc>
      </w:tr>
    </w:tbl>
    <w:p>
      <w:pPr>
        <w:spacing w:after="40" w:before="0" w:line="252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F766E"/>
          <w:sz w:val="25"/>
          <w:szCs w:val="25"/>
        </w:rPr>
        <w:t xml:space="preserve">Anexo — Requisitos por nível (cumulativos)</w:t>
      </w:r>
    </w:p>
    <w:p>
      <w:pPr>
        <w:spacing w:after="80" w:before="0" w:line="252"/>
      </w:pPr>
      <w:r>
        <w:rPr>
          <w:rFonts w:ascii="Arial" w:cs="Arial" w:eastAsia="Arial" w:hAnsi="Arial"/>
          <w:sz w:val="19"/>
          <w:szCs w:val="19"/>
        </w:rPr>
        <w:t xml:space="preserve">Requisitos que o protocolo deve atender conforme o nível atribuído. São cumulativos: cada nível soma-se aos anteriores.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 (Baixo)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Declaração de uso de IA no protocolo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Menção no TCLE de que um sistema algorítmico será utilizado e qual é o seu papel no estudo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Identificação do Controlador do banco de dados (Art. 3.º, IV da Res. CNS n.º 738/2024)  [Res. 738 — só com banco de dados]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II (Moderado)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Descrição do sistema e origem dos dados de treinamento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Demonstração de conformidade com a LGPD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Indicação da base legal para o tratamento dos dados utilizados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Termo de Compromisso de Uso de Dados assinado pelos pesquisadores (Arts. 24, V e 27, V da Res. CNS n.º 738/2024)  [Res. 738 — só com banco de dados]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Termo de Anuência Institucional para bancos externos à pesquisa (Art. 27, VI da Res. CNS n.º 738/2024) — obrigatório/eliminatório  [Res. 738 — só com banco de dados]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III (Alto)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Documentação de validação técnica do sistema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Análise de desempenho por subgrupos populacionais relevantes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Comprovação de mecanismo de supervisão humana efetiva no circuito decisório (human-in-the-loop)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Identificação do Encarregado de Dados da instituição responsável pelo estudo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Fundamentação do enquadramento de dispensa de TCLE nas cinco hipóteses do Art. 20 da Res. CNS n.º 738/2024  [Res. 738 — só com banco de dados]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Termo de Acordo Institucional para controladoria conjunta em protocolos multicêntricos (Art. 3.º, XVI e §2.º do Art. 12 da Res. CNS n.º 738/2024)  [Res. 738 — só com banco de dados]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Nível IV (Crítico) — requisitos acumulados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Parecer técnico externo sobre o sistema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Plano de monitoramento contínuo com critérios definidos de interrupção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Notificação à ANVISA quando o sistema se enquadrar como SaMD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>Submissão do protocolo à apreciação em instância superior do CEP, quando prevista no regimento institucional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555B66"/>
          <w:sz w:val="18"/>
          <w:szCs w:val="18"/>
        </w:rPr>
        <w:t xml:space="preserve">Diligência obrigatória (§7.3.6 do Capítulo 7 da Res. CNS n.º 738/2024) sempre que configurada ausência de cadeia de custódia formalizada  [Res. 738 — só com banco de dados]</w:t>
      </w:r>
    </w:p>
    <w:p>
      <w:pPr>
        <w:spacing w:after="120" w:before="160" w:line="252"/>
      </w:pPr>
      <w:r>
        <w:rPr>
          <w:rFonts w:ascii="Arial" w:cs="Arial" w:eastAsia="Arial" w:hAnsi="Arial"/>
          <w:i/>
          <w:iCs/>
          <w:color w:val="555B66"/>
          <w:sz w:val="18"/>
          <w:szCs w:val="18"/>
        </w:rPr>
        <w:t xml:space="preserve">Observações e críticas técnicas podem ser encaminhadas à CGREP (cgrep@saude.gov.br).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</w:pPr>
    <w:r>
      <w:rPr>
        <w:rFonts w:ascii="Arial" w:cs="Arial" w:eastAsia="Arial" w:hAnsi="Arial"/>
        <w:color w:val="555B66"/>
        <w:sz w:val="15"/>
        <w:szCs w:val="15"/>
      </w:rPr>
      <w:t xml:space="preserve">Ministério da Saúde · INAEP — versão preliminar (em revisão)</w:t>
    </w:r>
    <w:r>
      <w:rPr>
        <w:rFonts w:ascii="Arial" w:cs="Arial" w:eastAsia="Arial" w:hAnsi="Arial"/>
        <w:color w:val="555B66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4"/>
      </w:pBdr>
    </w:pPr>
    <w:r>
      <w:rPr>
        <w:rFonts w:ascii="Arial" w:cs="Arial" w:eastAsia="Arial" w:hAnsi="Arial"/>
        <w:color w:val="0F766E"/>
        <w:sz w:val="15"/>
        <w:szCs w:val="15"/>
      </w:rPr>
      <w:t xml:space="preserve">MARIAH — Matriz de Avaliação de Risco de Inteligência Artificial em Pesquisa com Seres Humanos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2026-06-25T13:24:12.389Z</dcterms:created>
  <dcterms:modified xsi:type="dcterms:W3CDTF">2026-06-25T13:24:12.389Z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