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  <w:jc w:val="center"/>
      </w:pPr>
      <w:r>
        <w:rPr>
          <w:rFonts w:ascii="Arial" w:cs="Arial" w:eastAsia="Arial" w:hAnsi="Arial"/>
          <w:b/>
          <w:bCs/>
          <w:color w:val="0F766E"/>
          <w:sz w:val="48"/>
          <w:szCs w:val="48"/>
        </w:rPr>
        <w:t xml:space="preserve">MARIA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Instruções de Preenchimento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F766E"/>
          <w:sz w:val="28"/>
          <w:szCs w:val="28"/>
        </w:rPr>
        <w:t xml:space="preserve">Versão A — Qualitativa</w:t>
      </w:r>
    </w:p>
    <w:p>
      <w:pPr>
        <w:spacing w:after="40"/>
        <w:jc w:val="center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Fluxograma de avaliação por eixos temáticos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55B66"/>
          <w:sz w:val="18"/>
          <w:szCs w:val="18"/>
        </w:rPr>
        <w:t xml:space="preserve">Matriz de Avaliação de Risco em Inteligência Artificial</w:t>
      </w:r>
    </w:p>
    <w:p>
      <w:pPr>
        <w:pBdr>
          <w:bottom w:val="single" w:color="0F766E" w:sz="10" w:space="6"/>
        </w:pBdr>
        <w:spacing w:after="240"/>
        <w:jc w:val="center"/>
      </w:pPr>
      <w:r>
        <w:rPr>
          <w:rFonts w:ascii="Arial" w:cs="Arial" w:eastAsia="Arial" w:hAnsi="Arial"/>
          <w:color w:val="555B66"/>
          <w:sz w:val="16"/>
          <w:szCs w:val="16"/>
        </w:rPr>
        <w:t xml:space="preserve">Versão preliminar — em revisão pelo GT do Ministério da Saúde · Junho de 2026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F766E"/>
          <w:sz w:val="30"/>
          <w:szCs w:val="30"/>
        </w:rPr>
        <w:t xml:space="preserve">1. Como funciona a Versão A</w:t>
      </w:r>
    </w:p>
    <w:p>
      <w:pPr>
        <w:spacing w:after="120" w:before="0" w:line="252"/>
      </w:pPr>
      <w:r>
        <w:rPr>
          <w:rFonts w:ascii="Arial" w:cs="Arial" w:eastAsia="Arial" w:hAnsi="Arial"/>
        </w:rPr>
        <w:t xml:space="preserve">A Versão A é qualitativa: um fluxograma de avaliação organizado em eixos temáticos. Para cada questão, o avaliador responde Sim ou Não. Em cada eixo conta-se o número de respostas que indicam risco; dessa contagem decorre o nível do eixo. O nível final do protocolo é o maior nível observado entre todos os eixos aplicáveis — a regra do máximo, deliberadamente conservadora.</w:t>
      </w:r>
    </w:p>
    <w:p>
      <w:pPr>
        <w:spacing w:after="120" w:before="0" w:line="252"/>
      </w:pPr>
      <w:r>
        <w:rPr>
          <w:rFonts w:ascii="Arial" w:cs="Arial" w:eastAsia="Arial" w:hAnsi="Arial"/>
        </w:rPr>
        <w:t xml:space="preserve">Cada questão tem uma “resposta de risco” — a alternativa (Sim ou Não) que sinaliza risco, indicada na coluna “Item”. Algumas questões aceitam “Não se aplica” (N/A), tratada como não-risco. As questões eliminatórias, quando respondidas no sentido de risco, tornam o protocolo “não avaliável pela MARIA” (§7.3.6), o que sobrescreve a contagem e exige análise individualizada do colegiado.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Passo 0 — Filtro de banco de dados (Res. CNS n.º 738/2024)</w:t>
      </w:r>
    </w:p>
    <w:p>
      <w:pPr>
        <w:spacing w:after="120" w:before="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 protocolo utiliza banco de dados — próprio, de outra pesquisa ou de instituição externa?</w:t>
      </w:r>
    </w:p>
    <w:p>
      <w:pPr>
        <w:spacing w:after="120" w:before="0" w:line="252"/>
      </w:pPr>
      <w:r>
        <w:rPr>
          <w:rFonts w:ascii="Arial" w:cs="Arial" w:eastAsia="Arial" w:hAnsi="Arial"/>
          <w:sz w:val="19"/>
          <w:szCs w:val="19"/>
        </w:rPr>
        <w:t xml:space="preserve">Este filtro ativa a subseção Res. CNS n.º 738/2024 (Eixo 3.b na Versão A e Bloco 6.b na Versão B). Bancos abrangem dados coletados fora do escopo direto de cada participante desta pesquisa. Não marque "Sim" quando o protocolo coleta dados exclusivamente no escopo da pesquisa com cada participante.</w:t>
      </w:r>
    </w:p>
    <w:p>
      <w:pPr>
        <w:pBdr>
          <w:left w:val="single" w:color="D9A441" w:sz="18" w:space="8"/>
        </w:pBdr>
        <w:shd w:fill="FBF3E2" w:val="clear"/>
        <w:spacing w:after="140" w:before="80"/>
      </w:pPr>
      <w:r>
        <w:rPr>
          <w:rFonts w:ascii="Arial" w:cs="Arial" w:eastAsia="Arial" w:hAnsi="Arial"/>
          <w:color w:val="92400E"/>
          <w:sz w:val="19"/>
          <w:szCs w:val="19"/>
        </w:rPr>
        <w:t xml:space="preserve">Se a resposta ao Passo 0 for “Sim”, aplica-se também o Eixo 3.b (Res. CNS n.º 738/2024). Se for “Não”, o Eixo 3.b é ignorado.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Regra de consolidação por contagem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rPr>
          <w:tblHeader/>
        </w:trPr>
        <w:tc>
          <w:tcPr>
            <w:tcW w:type="dxa" w:w="30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Respostas de risco no eixo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Nível do eixo — regra geral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Eixo 3.b — Res. 738</w:t>
            </w:r>
          </w:p>
        </w:tc>
      </w:tr>
      <w:tr>
        <w:tc>
          <w:tcPr>
            <w:tcW w:type="dxa" w:w="30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 (baixo)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 — não eleva</w:t>
            </w:r>
          </w:p>
        </w:tc>
      </w:tr>
      <w:tr>
        <w:tc>
          <w:tcPr>
            <w:tcW w:type="dxa" w:w="30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1 a 2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II (moderado)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III (alto)</w:t>
            </w:r>
          </w:p>
        </w:tc>
      </w:tr>
      <w:tr>
        <w:tc>
          <w:tcPr>
            <w:tcW w:type="dxa" w:w="30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3 a 4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III (alto)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IV (crítico)</w:t>
            </w:r>
          </w:p>
        </w:tc>
      </w:tr>
      <w:tr>
        <w:tc>
          <w:tcPr>
            <w:tcW w:type="dxa" w:w="30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5 ou mais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IV (crítico)</w:t>
            </w:r>
          </w:p>
        </w:tc>
        <w:tc>
          <w:tcPr>
            <w:tcW w:type="dxa" w:w="3013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IV (crítico)</w:t>
            </w:r>
          </w:p>
        </w:tc>
      </w:tr>
    </w:tbl>
    <w:p>
      <w:pPr>
        <w:spacing w:after="60" w:before="0" w:line="252"/>
      </w:pPr>
      <w:r>
        <w:rPr>
          <w:rFonts w:ascii="Arial" w:cs="Arial" w:eastAsia="Arial" w:hAnsi="Arial"/>
          <w:sz w:val="19"/>
          <w:szCs w:val="19"/>
        </w:rPr>
        <w:t xml:space="preserve">Observações: (i) no Eixo 3.b o Nível II é deliberadamente saltado — uma única resposta de risco já leva o eixo ao Nível III; (ii) o nível final do protocolo é o maior entre os eixos aplicáveis; (iii) questão eliminatória respondida no sentido de risco → “não avaliável pela MARIA”.</w:t>
      </w:r>
    </w:p>
    <w:p>
      <w:pPr>
        <w:pStyle w:val="Heading1"/>
        <w:pageBreakBefore/>
        <w:spacing w:after="140"/>
      </w:pPr>
      <w:r>
        <w:rPr>
          <w:rFonts w:ascii="Arial" w:cs="Arial" w:eastAsia="Arial" w:hAnsi="Arial"/>
          <w:b/>
          <w:bCs/>
          <w:color w:val="0F766E"/>
          <w:sz w:val="30"/>
          <w:szCs w:val="30"/>
        </w:rPr>
        <w:t xml:space="preserve">2. Questões por eixo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Eixo 1: Natureza e Autonomia do Sistema</w:t>
      </w:r>
    </w:p>
    <w:p>
      <w:pPr>
        <w:spacing w:after="60" w:before="0" w:line="252"/>
      </w:pPr>
      <w:r>
        <w:rPr>
          <w:rFonts w:ascii="Arial" w:cs="Arial" w:eastAsia="Arial" w:hAnsi="Arial"/>
          <w:sz w:val="19"/>
          <w:szCs w:val="19"/>
        </w:rPr>
        <w:t xml:space="preserve">Avalia o grau de autonomia do sistema, sua capacidade adaptativa e os riscos associados à sua natureza técnica.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toma decisões ou emite recomendações sem intervenção humana obrigatória antes da execução?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revisão humana obrigatória antes da execução, não há barreira de segurança entre a recomendação do sistema e a ação sobre o participante — um erro chega ao participante sem filtro. Quanto maior a autonomia decisória, maior o risco.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é adaptativo — aprende ou se atualiza com novos dados após o início do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Sistemas que aprendem ou se atualizam durante o estudo podem mudar de comportamento ao longo do tempo, gerando resultados diferentes dos validados no início — o que introduz incerteza sobre o que o participante de fato receberá.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Em caso de falha ou erro do sistema, o dano ao participante seria de difícil reversão?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Quando o erro do sistema produz dano de difícil reversão (ex.: conduta cirúrgica indevida), o risco é maior do que em danos reparáveis, porque a correção posterior não restaura o participante ao estado anterior.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foi desenvolvido e validado fora do contexto em que será utilizado neste protocolo?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Um sistema desenvolvido e validado em outro contexto (outra população, outro cenário assistencial) pode não manter o desempenho na realidade deste protocolo, gerando erros não detectados na validação original.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profissional responsável tem acesso às informações necessárias para contestar a recomendação do sistema?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 o profissional não tem acesso às informações necessárias para contestar a recomendação, a supervisão humana é apenas simbólica — existe no papel, mas não barra um erro. É a ausência desse acesso que eleva o risco.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define claramente o que acontece quando a decisão do sistema diverge do julgamento humano?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regra definida para quando a decisão do sistema diverge do julgamento humano, cria-se uma zona cinzenta de responsabilidade que pode atrasar a correção e prejudicar o participante.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é explicável — é possível compreender por que chegou a determinado resultado?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Sistemas opacos (caixa-preta) dificultam identificar vieses e erros e atribuir responsabilidade. A falta de explicabilidade reduz a capacidade de supervisão — é o que caracteriza o risco aqui.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foi submetido a testes de desempenho documentados antes do uso no protocolo?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testes de desempenho documentados antes do uso, não há evidência de que o sistema é seguro e eficaz no contexto proposto; o protocolo passa a depender de um desempenho presumido, não demonstrado.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Eixo 2: Impacto sobre a Pessoa Participante</w:t>
      </w:r>
    </w:p>
    <w:p>
      <w:pPr>
        <w:spacing w:after="60" w:before="0" w:line="252"/>
      </w:pPr>
      <w:r>
        <w:rPr>
          <w:rFonts w:ascii="Arial" w:cs="Arial" w:eastAsia="Arial" w:hAnsi="Arial"/>
          <w:sz w:val="19"/>
          <w:szCs w:val="19"/>
        </w:rPr>
        <w:t xml:space="preserve">Avalia os potenciais danos físicos, psíquicos, sociais e econômicos ao participante, bem como a proteção de populações vulneráveis.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influencia diretamente decisões clínicas ou terapêuticas sobre o participante?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Quando o sistema influencia diretamente decisões clínicas ou terapêuticas, um erro se traduz em conduta inadequada sobre o participante — o impacto potencial sobre a pessoa é maior.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pode causar dano físico ao participante em caso de erro?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possibilidade de dano físico em caso de erro é a forma mais grave de impacto e exige mecanismos robustos de segurança e supervisão.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pode causar dano psíquico, social ou econômico ao participante em caso de erro?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Danos não físicos — psíquicos, sociais ou econômicos — também são eticamente relevantes, sobretudo quando afetam a vida social, o emprego ou a renda do participante.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envolve populações vulneráveis: crianças, gestantes, idosos, pessoas com deficiência, povos indígenas ou comunidades em situação de vulnerabilidade socioeconômica?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Populações vulneráveis (crianças, gestantes, idosos, pessoas com deficiência, povos indígenas, vulnerabilidade socioeconômica) exigem proteção adicional, pois podem ter menor capacidade de compreender riscos ou contestar decisões.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infere características sensíveis do participante: raça/cor, etnia, condição de saúde, orientação sexual, que não foram explicitamente coletadas?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Inferir características sensíveis (raça/cor, etnia, saúde, orientação sexual) que não foram explicitamente coletadas contraria a autonomia informativa do participante e pode gerar discriminação.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efeitos de um erro do sistema sobre o participante são reversíveis?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pergunta verifica a reversibilidade: quando os efeitos de um erro NÃO são reversíveis, o risco aumenta de forma significativa, pois não há reparação integral possível.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TCLE informa ao participante, de forma compreensível, que um sistema de IA será utilizado no protocolo e qual é o seu papel?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 o TCLE não informa, de forma compreensível, que um sistema de IA será usado e qual o seu papel, viola-se a transparência e a autonomia — o participante consente sem saber a que está consentindo.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mecanismo para que o participante solicite a exclusão de seus dados do processo de treinamento ou retreinamento do modelo?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mecanismo para o participante solicitar a exclusão de seus dados do treinamento/retreinamento, ele perde o controle sobre os próprios dados após o consentimento.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2.9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como os resultados gerados pela IA serão comunicados ao participante, quando aplicável?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ausência de descrição sobre como os resultados da IA serão comunicados ao participante compromete a transparência e o exercício da autonomia.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Eixo 3: Sensibilidade e Governança dos Dados</w:t>
      </w:r>
    </w:p>
    <w:p>
      <w:pPr>
        <w:spacing w:after="60" w:before="0" w:line="252"/>
      </w:pPr>
      <w:r>
        <w:rPr>
          <w:rFonts w:ascii="Arial" w:cs="Arial" w:eastAsia="Arial" w:hAnsi="Arial"/>
          <w:sz w:val="19"/>
          <w:szCs w:val="19"/>
        </w:rPr>
        <w:t xml:space="preserve">Avalia o grau de sensibilidade dos dados processados, a conformidade com a LGPD e os mecanismos de proteção de dados.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processa dados pessoais sensíveis: saúde, genética, biometria, raça/cor, etnia, religião, vida sexual?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 processamento de dados pessoais sensíveis (saúde, genética, biometria, raça/cor, etnia, religião, vida sexual) exige proteção reforçada e base legal específica na LGPD; o risco à privacidade é inerentemente maior.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são transferidos ou processados em servidores fora do Brasil?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Transferir ou processar dados em servidores fora do Brasil exige avaliar a adequação do país de destino e adotar salvaguardas adicionais, pois reduz a governança nacional sobre os dados.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consentimento obtido cobre explicitamente o uso dos dados para treinamento ou retreinamento de modelos de IA?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Consentimento genérico não basta para treinar ou retreinar modelos: é preciso consentimento específico e informado para esse uso. A ausência dele é o que configura o risco.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demonstra conformidade com a LGPD: base legal identificada, finalidade declarada, Encarregado de Dados (DPO) indicado?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base legal identificada, finalidade declarada e Encarregado (DPO) indicado, o protocolo não demonstra conformidade com a LGPD, expondo participantes e instituição a riscos legais e éticos.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Existe risco real de reidentificação dos participantes a partir dos dados utilizados ou gerados pelo sistema?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Quando há risco real de reidentificação a partir dos dados usados ou gerados, a promessa de anonimato fica comprometida e os danos potenciais à privacidade aumentam.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plano de resposta a incidentes de segurança envolvendo os dados processados pela IA?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plano de resposta a incidentes de segurança, um vazamento ou acesso indevido pode não ser contido a tempo, agravando os danos aos participantes.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de treinamento do modelo foram coletados com consentimento compatível com o uso previsto neste protocolo?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 os dados de treinamento foram coletados para outra finalidade, podem não ter base legal para uso em IA neste protocolo, caracterizando uso secundário inadequado.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como os dados serão armazenados, por quanto tempo e como serão descartados ao final do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ausência de política de armazenamento, retenção e descarte abre espaço para uso indevido dos dados depois de encerrado o estudo.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Eixo 3.b: Bancos de Dados de Pesquisa (Res. CNS n.º 738/2024)</w:t>
      </w:r>
    </w:p>
    <w:p>
      <w:pPr>
        <w:spacing w:after="60" w:before="0" w:line="252"/>
      </w:pPr>
      <w:r>
        <w:rPr>
          <w:rFonts w:ascii="Arial" w:cs="Arial" w:eastAsia="Arial" w:hAnsi="Arial"/>
          <w:sz w:val="19"/>
          <w:szCs w:val="19"/>
        </w:rPr>
        <w:t xml:space="preserve">Subseção aplicável quando o protocolo utiliza bancos de dados (próprios, de outra pesquisa ou de instituição externa). Deriva da Resolução CNS n.º 738/2024 e complementa o Eixo 3. Pode elevar o nível consolidado do protocolo.</w:t>
      </w:r>
    </w:p>
    <w:p>
      <w:pPr>
        <w:spacing w:after="40" w:before="0" w:line="252"/>
      </w:pPr>
      <w:r>
        <w:rPr>
          <w:rFonts w:ascii="Arial" w:cs="Arial" w:eastAsia="Arial" w:hAnsi="Arial"/>
          <w:i/>
          <w:iCs/>
          <w:color w:val="555B66"/>
          <w:sz w:val="17"/>
          <w:szCs w:val="17"/>
        </w:rPr>
        <w:t xml:space="preserve">Referência normativa: Resolução CNS n.º 738/2024</w:t>
      </w:r>
    </w:p>
    <w:p>
      <w:pPr>
        <w:pBdr>
          <w:left w:val="single" w:color="D9A441" w:sz="18" w:space="8"/>
        </w:pBdr>
        <w:shd w:fill="FBF3E2" w:val="clear"/>
        <w:spacing w:after="140" w:before="80"/>
      </w:pPr>
      <w:r>
        <w:rPr>
          <w:rFonts w:ascii="Arial" w:cs="Arial" w:eastAsia="Arial" w:hAnsi="Arial"/>
          <w:color w:val="92400E"/>
          <w:sz w:val="19"/>
          <w:szCs w:val="19"/>
        </w:rPr>
        <w:t xml:space="preserve">Eixo condicional: aplicado apenas quando o Passo 0 indica uso de banco de dados. Regra de elevação especial (0 → não eleva; 1–2 → III; 3+ → IV).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3.b.1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identifica o Controlador do banco de dados (Art. 3.º, IV da Res. CNS n.º 738/2024), com cargo, função e instituição vinculada?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Identifica o Controlador do banco (Arts. 3.º, IV e 9.º da Res. CNS n.º 738/2024), com cargo, função e instituição. Sem isso, não há cadeia de custódia formalizada sobre os dados. No Eixo 3.b (Salvaguarda da Res. 738), uma única resposta de risco já leva o eixo ao Nível III — não há categoria intermediária para bancos de dados.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3.b.2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Eliminatória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Aceita “Não se aplica”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Se o banco foi constituído fora do âmbito de pesquisa (origem não-investigativa: prontuários, registros, bases administrativas): há Termo de Anuência Institucional (Art. 27, VI da Res. CNS n.º 738/2024) assinado pelo responsável (dirigente ou pessoa por ele delegada) da instituição detentora dos dados?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Verifica o Termo de Anuência Institucional (Art. 27, VI da Res. CNS n.º 738/2024), assinado pelo responsável (dirigente ou pessoa por ele delegada) da instituição de onde os dados provêm — exigível apenas para banco constituído fora do âmbito de pesquisa (origem não-investigativa: prontuários, registros, bases administrativas). Salvaguarda de Inavaliabilidade: nesse caso, sua ausência torna o protocolo "não avaliável pela MARIA" (§7.3.6), sobrescrevendo a classificação e exigindo análise individualizada do CEP. Marque "Não se aplica" quando o banco foi constituído no âmbito de pesquisa — inclusive reuso de banco de pesquisa anterior do próprio pesquisador —, hipótese regida pelo Art. 24 (Termo de Compromisso de Uso de Dados), que não exige Anuência.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3.b.3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Termo de Compromisso de Uso de Dados (Arts. 24, V e 27, V da Res. CNS n.º 738/2024), assinado pelos pesquisadores, consta do dossiê do protocolo?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Confirma o Termo de Compromisso de Uso de Dados, assinado pelos pesquisadores (Arts. 24, V e 27, V da Res. CNS n.º 738/2024), que assumem responsabilidade sobre finalidade, confidencialidade e descarte. É distinto do Termo de Anuência (3.b.2): o Compromisso é dos pesquisadores; a Anuência, do responsável (dirigente ou pessoa por ele delegada) da instituição detentora. No Eixo 3.b, uma única resposta de risco já eleva o eixo ao Nível III.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3.b.4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Se há pedido de dispensa de TCLE para uso futuro de dados: o enquadramento é fundamentado em uma das cinco situações do Art. 20 da Res. CNS n.º 738/2024?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dispensa de TCLE para uso futuro só é legítima quando enquadrada em uma das cinco hipóteses taxativas do Art. 20 da Res. CNS n.º 738/2024; justificativa genérica não basta. No Eixo 3.b, uma única resposta de risco já leva o eixo ao Nível III.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3.b.5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Se o protocolo é multicêntrico ou envolve mais de uma instituição: a controladoria conjunta está formalizada em Termo de Acordo Institucional (Art. 3.º, XVI e §2.º do Art. 12 da Res. CNS n.º 738/2024)?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Em pesquisa multicêntrica, a controladoria conjunta dos dados deve estar formalizada em Termo de Acordo Institucional (Art. 3.º, XVI e §2.º do Art. 12 da Res. CNS n.º 738/2024). No Eixo 3.b, uma única resposta de risco já leva o eixo ao Nível III.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Eixo 4: Representatividade e Transferibilidade</w:t>
      </w:r>
    </w:p>
    <w:p>
      <w:pPr>
        <w:spacing w:after="60" w:before="0" w:line="252"/>
      </w:pPr>
      <w:r>
        <w:rPr>
          <w:rFonts w:ascii="Arial" w:cs="Arial" w:eastAsia="Arial" w:hAnsi="Arial"/>
          <w:sz w:val="19"/>
          <w:szCs w:val="19"/>
        </w:rPr>
        <w:t xml:space="preserve">Avalia se os dados de treinamento representam adequadamente a população-alvo e se o modelo foi validado no contexto de uso.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de treinamento do modelo incluem representação adequada da diversidade da população-alvo deste protocolo — raça/cor, etnia, gênero, faixa etária, região geográfica?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 os dados de treinamento não representam a diversidade da população-alvo (raça/cor, etnia, gênero, idade, região), o modelo pode produzir resultados enviesados e discriminatórios para os subgrupos sub-representados.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modelo foi desenvolvido fora do Brasil para uso em população brasileira sem validação local documentada?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Um modelo desenvolvido fora do Brasil e usado em população brasileira sem validação local pode não refletir o perfil epidemiológico e socioeconômico nacional, degradando o desempenho real.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apresenta avaliação de desempenho do modelo por subgrupos populacionais relevantes?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avaliação de desempenho por subgrupos populacionais relevantes, disparidades que afetam grupos específicos passam despercebidas — o desempenho médio pode esconder falhas localizadas.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modelo foi treinado predominantemente em dados de populações de alta renda ou de países do hemisfério norte?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Modelos treinados predominantemente em populações de alta renda ou do hemisfério norte podem não representar a realidade socioeconômica e epidemiológica brasileira.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os dados usados no treinamento do modelo: origem, período de coleta, critérios de inclusão e exclusão?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descrição de origem, período de coleta e critérios de inclusão/exclusão dos dados de treinamento é o que permite avaliar a qualidade e a representatividade do modelo; sua ausência impede esse julgamento.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de teste do modelo são independentes dos dados de treinamento?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 os dados de teste não são independentes dos de treinamento, o desempenho relatado tende a ser superestimado e não se confirma no uso real.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monitoramento de degradação de desempenho do modelo ao longo do tempo (deriva de dados - data drift) caso seja utilizado em contexto de aplicação continuada?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Em uso continuado, sem monitorar a deriva de dados (data drift) o modelo pode degradar silenciosamente, gerando resultados cada vez menos confiáveis sem que a equipe perceba.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4.8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desempenho do modelo foi validado em contexto assistencial comparável ao SUS ou ao sistema de saúde em que será utilizado?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Validação em contexto diferente não garante desempenho adequado no cenário real de uso; a aderência ao contexto assistencial (ex.: SUS) é o que sustenta a transferibilidade.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Eixo 5: Supervisão Humana e Explicabilidade</w:t>
      </w:r>
    </w:p>
    <w:p>
      <w:pPr>
        <w:spacing w:after="60" w:before="0" w:line="252"/>
      </w:pPr>
      <w:r>
        <w:rPr>
          <w:rFonts w:ascii="Arial" w:cs="Arial" w:eastAsia="Arial" w:hAnsi="Arial"/>
          <w:sz w:val="19"/>
          <w:szCs w:val="19"/>
        </w:rPr>
        <w:t xml:space="preserve">Avalia a existência de mecanismos de supervisão humana, explicabilidade do sistema e procedimentos de contingência.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garante que um profissional habilitado revisa e pode contestar toda decisão gerada pelo sistema antes de sua execução?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revisão humana obrigatória (human-in-the-loop) que possa contestar a decisão antes da execução, o participante fica exposto a erros sem barreira de segurança.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opera como único determinante de uma decisão — sem revisão humana obrigatória?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Quando o sistema opera como único determinante da decisão, sem revisão humana obrigatória, atinge-se o maior nível de risco para o participante.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define responsabilidade humana clara em caso de erro ou dano decorrente do uso do sistema?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responsabilidade humana clara em caso de erro ou dano, instala-se uma zona de impunidade que enfraquece a proteção do participante.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 equipe responsável pelo estudo tem competência técnica suficiente para interpretar os resultados do sistema e identificar falhas?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competência técnica para interpretar resultados e identificar falhas, a equipe não exerce supervisão real sobre o sistema.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fornece, junto a cada resultado, uma explicação compreensível sobre os fatores que influenciaram aquele resultado?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uma explicação compreensível junto a cada resultado, a supervisão humana e a detecção de vieses ficam prejudicadas.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monitoramento contínuo do desempenho do sistema após o início do uso, com critérios definidos para interrupção?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monitoramento contínuo e critérios definidos de interrupção, o sistema pode degradar sem detecção, mantendo participantes expostos.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Existe procedimento documentado para o caso de falha, indisponibilidade ou resultado inconsistente do sistema durante 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procedimento documentado para falha, indisponibilidade ou resultado inconsistente, decisões passam a ser improvisadas em momentos críticos.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5.8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como e quando o modelo será retreinado, e quem autoriza essa atualização?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definir como, quando e quem autoriza o retreinamento, o comportamento do sistema pode mudar de forma imprevisível ao longo do estudo.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ageBreakBefore/>
        <w:spacing w:after="140"/>
      </w:pPr>
      <w:r>
        <w:rPr>
          <w:rFonts w:ascii="Arial" w:cs="Arial" w:eastAsia="Arial" w:hAnsi="Arial"/>
          <w:b/>
          <w:bCs/>
          <w:color w:val="0F766E"/>
          <w:sz w:val="30"/>
          <w:szCs w:val="30"/>
        </w:rPr>
        <w:t xml:space="preserve">3. Como ler o resultado</w:t>
      </w:r>
    </w:p>
    <w:p>
      <w:pPr>
        <w:spacing w:after="80" w:before="0" w:line="252"/>
      </w:pPr>
      <w:r>
        <w:rPr>
          <w:rFonts w:ascii="Arial" w:cs="Arial" w:eastAsia="Arial" w:hAnsi="Arial"/>
        </w:rPr>
        <w:t xml:space="preserve">O nível final corresponde ao maior nível entre os eixos aplicáveis. Os quatro níveis e seus significados: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6626"/>
      </w:tblGrid>
      <w:tr>
        <w:trPr>
          <w:tblHeader/>
        </w:trP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Rótulo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Baixo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baixo — requisitos mínimos de documentação e transparência.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II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Moderado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moderado — exige descrição do sistema e conformidade com a LGPD.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III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Alto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alto — exige validação técnica, análise por subgrupos e supervisão humana efetiva.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IV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Crítico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crítico — exige parecer técnico externo, monitoramento contínuo e notificação à ANVISA quando aplicável.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Anexo — Requisitos por nível (cumulativos)</w:t>
      </w:r>
    </w:p>
    <w:p>
      <w:pPr>
        <w:spacing w:after="80" w:before="0" w:line="252"/>
      </w:pPr>
      <w:r>
        <w:rPr>
          <w:rFonts w:ascii="Arial" w:cs="Arial" w:eastAsia="Arial" w:hAnsi="Arial"/>
          <w:sz w:val="19"/>
          <w:szCs w:val="19"/>
        </w:rPr>
        <w:t xml:space="preserve">Requisitos que o protocolo deve atender conforme o nível atribuído. São cumulativos: cada nível soma-se aos anteriores.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 (Baixo)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Declaração de uso de IA no protocolo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Menção no TCLE de que um sistema algorítmico será utilizado e qual é o seu papel no estudo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Identificação do Controlador do banco de dados (Art. 3.º, IV da Res. CNS n.º 738/2024)  [Res. 738 — só com banco de dados]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II (Moderado)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Descrição do sistema e origem dos dados de treinamento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Demonstração de conformidade com a LGPD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Indicação da base legal para o tratamento dos dados utilizados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Termo de Compromisso de Uso de Dados assinado pelos pesquisadores (Arts. 24, V e 27, V da Res. CNS n.º 738/2024)  [Res. 738 — só com banco de dados]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Termo de Anuência Institucional para bancos externos à pesquisa (Art. 27, VI da Res. CNS n.º 738/2024) — obrigatório/eliminatório  [Res. 738 — só com banco de dados]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III (Alto)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Documentação de validação técnica do sistema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Análise de desempenho por subgrupos populacionais relevantes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Comprovação de mecanismo de supervisão humana efetiva no circuito decisório (human-in-the-loop)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Identificação do Encarregado de Dados da instituição responsável pelo estudo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Fundamentação do enquadramento de dispensa de TCLE nas cinco hipóteses do Art. 20 da Res. CNS n.º 738/2024  [Res. 738 — só com banco de dados]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Termo de Acordo Institucional para controladoria conjunta em protocolos multicêntricos (Art. 3.º, XVI e §2.º do Art. 12 da Res. CNS n.º 738/2024)  [Res. 738 — só com banco de dados]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IV (Crítico)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Parecer técnico externo sobre o sistema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Plano de monitoramento contínuo com critérios definidos de interrupção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Notificação à ANVISA quando o sistema se enquadrar como SaMD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Submissão do protocolo à apreciação em instância superior do CEP, quando prevista no regimento institucional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Diligência obrigatória (§7.3.6 do Capítulo 7 da Res. CNS n.º 738/2024) sempre que configurada ausência de cadeia de custódia formalizada  [Res. 738 — só com banco de dados]</w:t>
      </w:r>
    </w:p>
    <w:p>
      <w:pPr>
        <w:spacing w:after="120" w:before="160" w:line="252"/>
      </w:pPr>
      <w:r>
        <w:rPr>
          <w:rFonts w:ascii="Arial" w:cs="Arial" w:eastAsia="Arial" w:hAnsi="Arial"/>
          <w:i/>
          <w:iCs/>
          <w:color w:val="555B66"/>
          <w:sz w:val="18"/>
          <w:szCs w:val="18"/>
        </w:rPr>
        <w:t xml:space="preserve">Observações e críticas técnicas podem ser encaminhadas à CGREP (cgrep@saude.gov.br).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4"/>
      </w:pBdr>
      <w:tabs>
        <w:tab w:val="right" w:pos="9026"/>
      </w:tabs>
    </w:pPr>
    <w:r>
      <w:rPr>
        <w:rFonts w:ascii="Arial" w:cs="Arial" w:eastAsia="Arial" w:hAnsi="Arial"/>
        <w:color w:val="555B66"/>
        <w:sz w:val="15"/>
        <w:szCs w:val="15"/>
      </w:rPr>
      <w:t xml:space="preserve">Ministério da Saúde · INAEP — versão preliminar (em revisão)</w:t>
    </w:r>
    <w:r>
      <w:rPr>
        <w:rFonts w:ascii="Arial" w:cs="Arial" w:eastAsia="Arial" w:hAnsi="Arial"/>
        <w:color w:val="555B66"/>
        <w:sz w:val="15"/>
        <w:szCs w:val="15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766E" w:sz="6" w:space="4"/>
      </w:pBdr>
    </w:pPr>
    <w:r>
      <w:rPr>
        <w:rFonts w:ascii="Arial" w:cs="Arial" w:eastAsia="Arial" w:hAnsi="Arial"/>
        <w:color w:val="0F766E"/>
        <w:sz w:val="15"/>
        <w:szCs w:val="15"/>
      </w:rPr>
      <w:t xml:space="preserve">MARIA — Matriz de Avaliação de Risco em Inteligência Artificial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2026-06-25T13:24:12.389Z</dcterms:created>
  <dcterms:modified xsi:type="dcterms:W3CDTF">2026-06-25T13:24:12.389Z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