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  <w:jc w:val="center"/>
      </w:pPr>
      <w:r>
        <w:rPr>
          <w:rFonts w:ascii="Arial" w:cs="Arial" w:eastAsia="Arial" w:hAnsi="Arial"/>
          <w:b/>
          <w:bCs/>
          <w:color w:val="0F766E"/>
          <w:sz w:val="48"/>
          <w:szCs w:val="48"/>
        </w:rPr>
        <w:t xml:space="preserve">MARIA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Instruções de Preenchimento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Versão B — Quantitativa</w:t>
      </w:r>
    </w:p>
    <w:p>
      <w:pPr>
        <w:spacing w:after="4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Pontuação ponderada em sete blocos de avaliação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B66"/>
          <w:sz w:val="18"/>
          <w:szCs w:val="18"/>
        </w:rPr>
        <w:t xml:space="preserve">Matriz de Avaliação de Risco em Inteligência Artificial</w:t>
      </w:r>
    </w:p>
    <w:p>
      <w:pPr>
        <w:pBdr>
          <w:bottom w:val="single" w:color="0F766E" w:sz="10" w:space="6"/>
        </w:pBdr>
        <w:spacing w:after="240"/>
        <w:jc w:val="center"/>
      </w:pPr>
      <w:r>
        <w:rPr>
          <w:rFonts w:ascii="Arial" w:cs="Arial" w:eastAsia="Arial" w:hAnsi="Arial"/>
          <w:color w:val="555B66"/>
          <w:sz w:val="16"/>
          <w:szCs w:val="16"/>
        </w:rPr>
        <w:t xml:space="preserve">Versão preliminar — em revisão pelo GT do Ministério da Saúde · Junho de 2026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1. Como funciona a Versão B</w:t>
      </w:r>
    </w:p>
    <w:p>
      <w:pPr>
        <w:spacing w:after="120" w:before="0" w:line="252"/>
      </w:pPr>
      <w:r>
        <w:rPr>
          <w:rFonts w:ascii="Arial" w:cs="Arial" w:eastAsia="Arial" w:hAnsi="Arial"/>
        </w:rPr>
        <w:t xml:space="preserve">A Versão B é quantitativa: cada resposta de risco soma pontos, distribuídos em sete blocos. A pontuação total é a soma dos blocos (modelo aditivo), e os pontos de corte definem o nível final do protocolo. Cada questão tem um peso fixo, indicado na coluna “Item”.</w:t>
      </w:r>
    </w:p>
    <w:p>
      <w:pPr>
        <w:spacing w:after="120" w:before="0" w:line="252"/>
      </w:pPr>
      <w:r>
        <w:rPr>
          <w:rFonts w:ascii="Arial" w:cs="Arial" w:eastAsia="Arial" w:hAnsi="Arial"/>
        </w:rPr>
        <w:t xml:space="preserve">Quatro mecanismos alteram a aritmética simples: a Cláusula de Prevalência Ética (Bloco 4), que força o Nível IV; a questão eliminatória (P6.b.2), que torna o protocolo “não avaliável pela MARIA”; a bidirecionalidade do Bloco 7 (Mitigação); e o Bloco 6.b condicional (Res. 738), que soma ao Bloco 6 quando há banco de dados.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Passo 0 — Filtro de banco de dados (Res. CNS n.º 738/2024)</w:t>
      </w:r>
    </w:p>
    <w:p>
      <w:pPr>
        <w:spacing w:after="12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 protocolo utiliza banco de dados — próprio, de outra pesquisa ou de instituição externa?</w:t>
      </w:r>
    </w:p>
    <w:p>
      <w:pPr>
        <w:spacing w:after="120" w:before="0" w:line="252"/>
      </w:pPr>
      <w:r>
        <w:rPr>
          <w:rFonts w:ascii="Arial" w:cs="Arial" w:eastAsia="Arial" w:hAnsi="Arial"/>
          <w:sz w:val="19"/>
          <w:szCs w:val="19"/>
        </w:rPr>
        <w:t xml:space="preserve">Este filtro ativa a subseção Res. CNS n.º 738/2024 (Eixo 3.b na Versão A e Bloco 6.b na Versão B). Bancos abrangem dados coletados fora do escopo direto de cada participante desta pesquisa. Não marque "Sim" quando o protocolo coleta dados exclusivamente no escopo da pesquisa com cada participante.</w:t>
      </w:r>
    </w:p>
    <w:p>
      <w:pPr>
        <w:pBdr>
          <w:left w:val="single" w:color="D9A441" w:sz="18" w:space="8"/>
        </w:pBdr>
        <w:shd w:fill="FBF3E2" w:val="clear"/>
        <w:spacing w:after="140" w:before="8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Se a resposta ao Passo 0 for “Sim”, aplica-se também o Bloco 6.b (Res. CNS n.º 738/2024), cuja pontuação soma ao Bloco 6 e desloca os pontos de corte (cenário “com banco”).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Cláusula de Prevalência Ética (Bloco 4)</w:t>
      </w:r>
    </w:p>
    <w:p>
      <w:pPr>
        <w:pBdr>
          <w:left w:val="single" w:color="D9A441" w:sz="18" w:space="8"/>
        </w:pBdr>
        <w:shd w:fill="FBF3E2" w:val="clear"/>
        <w:spacing w:after="140" w:before="8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Se P4.1 ou P4.2 for respondida “Sim”, o protocolo é forçado ao Nível IV (crítico), sobrescrevendo a soma total — qualquer que seja a pontuação dos demais blocos.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Bloco 7 — Mitigação (bidirecional)</w:t>
      </w:r>
    </w:p>
    <w:p>
      <w:pPr>
        <w:spacing w:after="120" w:before="0" w:line="252"/>
      </w:pPr>
      <w:r>
        <w:rPr>
          <w:rFonts w:ascii="Arial" w:cs="Arial" w:eastAsia="Arial" w:hAnsi="Arial"/>
          <w:sz w:val="19"/>
          <w:szCs w:val="19"/>
        </w:rPr>
        <w:t xml:space="preserve">Duas questões de consulta (P7.1, P7.2) somam pontos quando a resposta é “Não” (sem a consulta). Oito questões de mitigação (P7.3 a P7.10) subtraem pontos quando respondidas “Sim” (mitigação presente). O bloco tem piso de zero: não fica negativo.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Pontos de corte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430"/>
        <w:gridCol w:w="1432"/>
        <w:gridCol w:w="1432"/>
        <w:gridCol w:w="1432"/>
      </w:tblGrid>
      <w:tr>
        <w:trPr>
          <w:tblHeader/>
        </w:trPr>
        <w:tc>
          <w:tcPr>
            <w:tcW w:type="dxa" w:w="24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9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Máx.</w:t>
            </w:r>
          </w:p>
        </w:tc>
        <w:tc>
          <w:tcPr>
            <w:tcW w:type="dxa" w:w="143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 I</w:t>
            </w:r>
          </w:p>
        </w:tc>
        <w:tc>
          <w:tcPr>
            <w:tcW w:type="dxa" w:w="1432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 II</w:t>
            </w:r>
          </w:p>
        </w:tc>
        <w:tc>
          <w:tcPr>
            <w:tcW w:type="dxa" w:w="1432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 III</w:t>
            </w:r>
          </w:p>
        </w:tc>
        <w:tc>
          <w:tcPr>
            <w:tcW w:type="dxa" w:w="1432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 IV</w:t>
            </w:r>
          </w:p>
        </w:tc>
      </w:tr>
      <w:tr>
        <w:tc>
          <w:tcPr>
            <w:tcW w:type="dxa" w:w="24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Sem banco de dados</w:t>
            </w:r>
          </w:p>
        </w:tc>
        <w:tc>
          <w:tcPr>
            <w:tcW w:type="dxa" w:w="9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238</w:t>
            </w:r>
          </w:p>
        </w:tc>
        <w:tc>
          <w:tcPr>
            <w:tcW w:type="dxa" w:w="143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 a 50</w:t>
            </w:r>
          </w:p>
        </w:tc>
        <w:tc>
          <w:tcPr>
            <w:tcW w:type="dxa" w:w="1432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51 a 110</w:t>
            </w:r>
          </w:p>
        </w:tc>
        <w:tc>
          <w:tcPr>
            <w:tcW w:type="dxa" w:w="1432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111 a 180</w:t>
            </w:r>
          </w:p>
        </w:tc>
        <w:tc>
          <w:tcPr>
            <w:tcW w:type="dxa" w:w="1432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≥ 181</w:t>
            </w:r>
          </w:p>
        </w:tc>
      </w:tr>
      <w:tr>
        <w:tc>
          <w:tcPr>
            <w:tcW w:type="dxa" w:w="24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Com banco (Bloco 6.b)</w:t>
            </w:r>
          </w:p>
        </w:tc>
        <w:tc>
          <w:tcPr>
            <w:tcW w:type="dxa" w:w="9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267</w:t>
            </w:r>
          </w:p>
        </w:tc>
        <w:tc>
          <w:tcPr>
            <w:tcW w:type="dxa" w:w="143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 a 56</w:t>
            </w:r>
          </w:p>
        </w:tc>
        <w:tc>
          <w:tcPr>
            <w:tcW w:type="dxa" w:w="1432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57 a 123</w:t>
            </w:r>
          </w:p>
        </w:tc>
        <w:tc>
          <w:tcPr>
            <w:tcW w:type="dxa" w:w="1432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124 a 202</w:t>
            </w:r>
          </w:p>
        </w:tc>
        <w:tc>
          <w:tcPr>
            <w:tcW w:type="dxa" w:w="1432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≥ 203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  <w:i/>
          <w:iCs/>
          <w:color w:val="555B66"/>
          <w:sz w:val="17"/>
          <w:szCs w:val="17"/>
        </w:rPr>
        <w:t xml:space="preserve">As faixas “com banco” derivam de escalonamento proporcional do cenário base (fator 267/238). A calibração definitiva é prospectiva.</w:t>
      </w:r>
    </w:p>
    <w:p>
      <w:pPr>
        <w:pStyle w:val="Heading1"/>
        <w:pageBreakBefore/>
        <w:spacing w:after="14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2. Questões por bloco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Bloco 1: Projeto  (máx. 22 pts)</w:t>
      </w:r>
    </w:p>
    <w:p>
      <w:pPr>
        <w:spacing w:after="50" w:before="0" w:line="252"/>
      </w:pPr>
      <w:r>
        <w:rPr>
          <w:rFonts w:ascii="Arial" w:cs="Arial" w:eastAsia="Arial" w:hAnsi="Arial"/>
          <w:sz w:val="19"/>
          <w:szCs w:val="19"/>
        </w:rPr>
        <w:t xml:space="preserve">Avalia a qualidade da documentação do protocolo e a preparação da equipe para o uso do sistema de 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6"/>
      </w:tblGrid>
      <w:tr>
        <w:trPr>
          <w:tblHeader/>
        </w:trP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e orientação para preenchimento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P1.1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descreve com precisão o sistema de IA utilizado — nome, versão, fabricante ou desenvolvedor, e finalidade?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descrição precisa do sistema (nome, versão, fabricante/desenvolvedor, finalidade) é a base para a avaliação ética e para a responsabilização; sem ela, não há o que auditar.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P1.2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justifica a escolha do sistema de IA em relação a alternativas metodológicas disponíveis?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Justificar a escolha do sistema frente a alternativas metodológicas demonstra que o uso de IA é necessário e proporcional, não arbitrário.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P1.3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 equipe responsável inclui ao menos um membro com competência técnica para interpretar os resultados do sistema e identificar falhas?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ao menos um membro com competência técnica para interpretar resultados e identificar falhas, a supervisão da equipe é insuficiente.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P1.4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descreve o estágio de desenvolvimento do sistema — Descoberta (Discovery), Translação (Translation) ou Implantação (Deployment)?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Informar o estágio de desenvolvimento (Descoberta, Translação ou Implantação) é o que permite calibrar a incerteza esperada sobre o desempenho do sistema.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P1.5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apresenta o contexto de uso definido — papel do sistema, escopo da decisão e fontes de evidência complementares?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Delimitar papel do sistema, escopo da decisão e fontes de evidência complementares é o que define o alcance e os riscos do uso; sem isso, o uso fica indefinido.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P1.6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TCLE menciona de forma compreensível que um sistema de IA será utilizado e qual é o seu papel no estudo?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Mencionar no TCLE, de forma compreensível, que um sistema de IA será usado e qual o seu papel é requisito ético de transparência e autonomia.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P1.7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4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foi submetido a consulta ou parecer técnico externo sobre o uso do sistema de IA?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Um parecer técnico externo adiciona uma camada de verificação independente sobre o uso do sistema, reduzindo pontos cegos da equipe proponente.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Bloco 2: Sistema  (máx. 17 pts)</w:t>
      </w:r>
    </w:p>
    <w:p>
      <w:pPr>
        <w:spacing w:after="50" w:before="0" w:line="252"/>
      </w:pPr>
      <w:r>
        <w:rPr>
          <w:rFonts w:ascii="Arial" w:cs="Arial" w:eastAsia="Arial" w:hAnsi="Arial"/>
          <w:sz w:val="19"/>
          <w:szCs w:val="19"/>
        </w:rPr>
        <w:t xml:space="preserve">Avalia as características técnicas do sistema de IA, incluindo autonomia, adaptabilidade e transparência.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6"/>
      </w:tblGrid>
      <w:tr>
        <w:trPr>
          <w:tblHeader/>
        </w:trP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e orientação para preenchimento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P2.1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 pts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Consulta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toma decisões ou emite recomendações sem intervenção humana obrigatória antes da execução?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Sistemas que decidem ou recomendam sem intervenção humana obrigatória antes da execução elevam o risco, pois removem a barreira de segurança entre recomendação e ação.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P2.2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 pts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Consulta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é adaptativo: aprende ou se atualiza com novos dados após o início do estudo?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Sistemas adaptativos podem mudar de comportamento ao aprender com novos dados durante o estudo, introduzindo incerteza sobre os resultados gerados.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P2.3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 pts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Consulta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opera como caixa-preta: sem possibilidade de explicar os fatores que determinaram cada resultado?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Sistemas caixa-preta, sem explicação dos fatores de cada resultado, impedem supervisão eficaz e a identificação de vieses.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P2.4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foi submetido a testes de desempenho documentados antes do uso no protocolo?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testes de desempenho documentados antes do uso, não há evidência de segurança e eficácia no contexto proposto.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P2.5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é explicável: fornece, junto a cada resultado, uma explicação compreensível sobre os fatores que o influenciaram?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explicação compreensível junto a cada resultado é o que viabiliza uma supervisão humana eficaz; sua ausência caracteriza o risco.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P2.6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define claramente o que acontece quando a decisão do sistema diverge do julgamento humano?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regra para quando a decisão do sistema diverge do julgamento humano, cria-se zona cinzenta de responsabilidade.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P2.7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descreve a arquitetura do sistema — tipo de modelo, dados de entrada e saída, método de treinamento?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descrição da arquitetura (tipo de modelo, dados de entrada e saída, método de treinamento) é a base da avaliação técnica; sem ela, o sistema não é auditável.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Bloco 3: Algoritmo  (máx. 14 pts)</w:t>
      </w:r>
    </w:p>
    <w:p>
      <w:pPr>
        <w:spacing w:after="50" w:before="0" w:line="252"/>
      </w:pPr>
      <w:r>
        <w:rPr>
          <w:rFonts w:ascii="Arial" w:cs="Arial" w:eastAsia="Arial" w:hAnsi="Arial"/>
          <w:sz w:val="19"/>
          <w:szCs w:val="19"/>
        </w:rPr>
        <w:t xml:space="preserve">Avalia a origem e a representatividade dos dados de treinamento, bem como a validação do modelo.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6"/>
      </w:tblGrid>
      <w:tr>
        <w:trPr>
          <w:tblHeader/>
        </w:trP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e orientação para preenchimento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P3.1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modelo foi desenvolvido fora do Brasil para uso em população brasileira sem validação local documentada?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Modelos desenvolvidos fora do Brasil e usados em população brasileira sem validação local podem não ser adequados à realidade nacional.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P3.2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Os dados de treinamento do modelo foram coletados predominantemente em populações de alta renda ou do hemisfério norte?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Dados de treinamento de populações de alta renda ou do hemisfério norte podem não representar o perfil socioeconômico e epidemiológico brasileiro.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P3.3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Os dados de treinamento incluem representação adequada da diversidade da população-alvo deste protocolo: raça/cor, etnia, orientação sexual, gênero, faixa etária, região geográfica?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representação adequada da diversidade da população-alvo (raça/cor, etnia, orientação sexual, gênero, idade, região), o modelo pode gerar resultados enviesados e discriminatórios.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P3.4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Os dados de teste do modelo são independentes dos dados de treinamento?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Dados de teste não independentes dos de treinamento tendem a superestimar o desempenho do modelo.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P3.5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descreve os dados usados no treinamento: origem, período de coleta, critérios de inclusão e exclusão?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descrição de origem, período e critérios de inclusão/exclusão dos dados de treinamento é essencial para avaliar a qualidade do modelo.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P3.6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apresenta avaliação de desempenho do modelo por subgrupos populacionais relevantes?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avaliação por subgrupos populacionais relevantes, disparidades de desempenho que afetam grupos específicos não são identificadas.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P3.7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desempenho do modelo foi validado em contexto assistencial comparável ao SUS ou ao sistema de saúde em que será utilizado?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validação em contexto assistencial comparável (ex.: SUS) é o que assegura a adequação do modelo ao cenário real de uso.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Bloco 4: Decisão  (máx. 8 pts)</w:t>
      </w:r>
    </w:p>
    <w:p>
      <w:pPr>
        <w:spacing w:after="50" w:before="0" w:line="252"/>
      </w:pPr>
      <w:r>
        <w:rPr>
          <w:rFonts w:ascii="Arial" w:cs="Arial" w:eastAsia="Arial" w:hAnsi="Arial"/>
          <w:sz w:val="19"/>
          <w:szCs w:val="19"/>
        </w:rPr>
        <w:t xml:space="preserve">Avalia se o sistema é o único determinante de decisões e a irreversibilidade dos danos potenciais. Este é um bloco CRÍTICO.</w:t>
      </w:r>
    </w:p>
    <w:p>
      <w:pPr>
        <w:spacing w:after="40" w:before="0" w:line="252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BLOCO CRÍTICO — Cláusula de Prevalência Ética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6"/>
      </w:tblGrid>
      <w:tr>
        <w:trPr>
          <w:tblHeader/>
        </w:trP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e orientação para preenchimento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P4.1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é o único determinante de uma decisão que afeta diretamente o participante — sem revisão humana obrigatória?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Verifica se o sistema é o único determinante de uma decisão que afeta o participante, sem revisão humana obrigatória — o que remove a barreira de segurança humana. Salvaguarda Decisória (Cláusula de Prevalência Ética): responder "Sim" força o protocolo ao Nível IV, sobrescrevendo a soma, qualquer que seja a pontuação dos demais blocos.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P4.2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3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Em caso de erro do sistema, o dano ao participante seria irreversível ou de difícil reparação?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Avalia se um erro do sistema poderia causar dano irreversível ou de difícil reparação ao participante — o patamar mais alto de risco. Salvaguarda Decisória (Cláusula de Prevalência Ética): responder "Sim" força o protocolo ao Nível IV, sobrescrevendo a soma.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P4.3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2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profissional responsável tem acesso às informações necessárias para contestar a recomendação do sistema antes de sua execução?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acesso às informações necessárias para contestar a recomendação antes da execução, a supervisão humana é apenas simbólica — não consegue barrar um erro.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Bloco 5: Impacto  (máx. 52 pts)</w:t>
      </w:r>
    </w:p>
    <w:p>
      <w:pPr>
        <w:spacing w:after="50" w:before="0" w:line="252"/>
      </w:pPr>
      <w:r>
        <w:rPr>
          <w:rFonts w:ascii="Arial" w:cs="Arial" w:eastAsia="Arial" w:hAnsi="Arial"/>
          <w:sz w:val="19"/>
          <w:szCs w:val="19"/>
        </w:rPr>
        <w:t xml:space="preserve">Avalia o impacto potencial do sistema sobre o participante, incluindo danos físicos, psíquicos e sociais, e a proteção de populações vulneráveis.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6"/>
      </w:tblGrid>
      <w:tr>
        <w:trPr>
          <w:tblHeader/>
        </w:trP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e orientação para preenchimento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P5.1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influencia diretamente decisões clínicas ou terapêuticas sobre o participante?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Quando o sistema influencia diretamente decisões clínicas ou terapêuticas, um erro se converte em conduta inadequada sobre o participante — maior potencial de dano.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P5.2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pode causar dano físico ao participante em caso de erro?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possibilidade de dano físico em caso de erro é a forma mais grave de impacto e exige mecanismos robustos de segurança.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P5.3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pode causar dano psíquico, social ou econômico ao participante em caso de erro?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Danos não físicos — psíquicos, sociais ou econômicos — também são relevantes, sobretudo quando afetam a vida social ou a renda do participante.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P5.4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envolve populações vulneráveis — crianças, gestantes, idosos, povos indígenas ou pessoas em situação de vulnerabilidade socioeconômica?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Populações vulneráveis (crianças, gestantes, idosos, povos indígenas, vulnerabilidade socioeconômica) exigem proteção adicional, pela menor capacidade de contestar decisões ou compreender riscos.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P5.5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infere características sensíveis do participante — raça/cor, etnia, condição de saúde, orientação sexual — que não foram explicitamente coletadas?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Inferir características sensíveis não explicitamente coletadas (raça/cor, etnia, saúde, orientação sexual) contraria a autonomia informativa e pode gerar discriminação.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P5.6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Os efeitos de um erro do sistema sobre o participante são reversíveis?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pergunta verifica a reversibilidade: efeitos NÃO reversíveis de um erro aumentam significativamente o risco, por não admitirem reparação integral.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P5.7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descreve como os resultados gerados pela IA serão comunicados ao participante, quando aplicável?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ausência de descrição sobre como os resultados serão comunicados ao participante compromete a transparência.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P5.8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prevê mecanismo para que o participante solicite a exclusão de seus dados do processo de treinamento ou retreinamento do modelo?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mecanismo para o participante excluir seus dados do treinamento/retreinamento, ele perde o controle sobre os próprios dados após o consentimento.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P5.9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define responsabilidade humana clara em caso de erro ou dano decorrente do uso do sistema?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responsabilidade humana clara em caso de erro ou dano, instala-se uma zona de impunidade que fragiliza a proteção do participante.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Bloco 6: Dados  (máx. 50 pts)</w:t>
      </w:r>
    </w:p>
    <w:p>
      <w:pPr>
        <w:spacing w:after="50" w:before="0" w:line="252"/>
      </w:pPr>
      <w:r>
        <w:rPr>
          <w:rFonts w:ascii="Arial" w:cs="Arial" w:eastAsia="Arial" w:hAnsi="Arial"/>
          <w:sz w:val="19"/>
          <w:szCs w:val="19"/>
        </w:rPr>
        <w:t xml:space="preserve">Avalia a sensibilidade dos dados, a conformidade com a LGPD e os mecanismos de proteção e governança.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6"/>
      </w:tblGrid>
      <w:tr>
        <w:trPr>
          <w:tblHeader/>
        </w:trP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e orientação para preenchimento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P6.1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7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processa dados pessoais sensíveis: saúde, genética, biometria, raça/cor, etnia, religião, vida sexual?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 processamento de dados sensíveis (saúde, genética, biometria, raça/cor, etnia, religião, vida sexual) exige proteção reforçada e base legal específica na LGPD.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P6.2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7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Os dados são transferidos ou processados em servidores fora do Brasil?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Transferir ou processar dados fora do Brasil exige avaliar a adequação do destino e adotar salvaguardas adicionais, reduzindo a governança nacional sobre os dados.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P6.3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7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Existe risco real de reidentificação dos participantes a partir dos dados utilizados ou gerados pelo sistema?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Risco real de reidentificação compromete a promessa de anonimato e amplia os danos potenciais à privacidade e à segurança.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P6.4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consentimento obtido cobre explicitamente o uso dos dados para treinamento ou retreinamento de modelos de IA?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Consentimento genérico não basta para treinar/retreinar modelos; é preciso consentimento específico e informado para esse uso.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P6.5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7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demonstra conformidade com a LGPD — base legal identificada, finalidade declarada, Encarregado de Dados (DPO) indicado?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base legal, finalidade declarada e Encarregado (DPO) indicado, o protocolo não demonstra conformidade com a LGPD, expondo a riscos legais e éticos.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P6.6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prevê plano de resposta a incidentes de segurança envolvendo os dados processados pela IA?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plano de resposta a incidentes, um vazamento ou acesso indevido pode não ser contido a tempo, agravando os danos.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P6.7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6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Os dados de treinamento do modelo foram coletados com consentimento compatível com o uso previsto neste protocolo?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Dados de treinamento coletados para outra finalidade podem não ter base legal para uso em IA neste protocolo.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P6.8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descreve como os dados serão armazenados, por quanto tempo e como serão descartados ao final do estudo?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ausência de política de armazenamento, retenção e descarte abre espaço para uso indevido dos dados após o estudo.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Bloco 6.b: Bancos de Dados de Pesquisa (Res. CNS n.º 738/2024)  (máx. 29 pts)</w:t>
      </w:r>
    </w:p>
    <w:p>
      <w:pPr>
        <w:spacing w:after="50" w:before="0" w:line="252"/>
      </w:pPr>
      <w:r>
        <w:rPr>
          <w:rFonts w:ascii="Arial" w:cs="Arial" w:eastAsia="Arial" w:hAnsi="Arial"/>
          <w:sz w:val="19"/>
          <w:szCs w:val="19"/>
        </w:rPr>
        <w:t xml:space="preserve">Subseção aplicável quando o protocolo utiliza banco de dados. Deriva da Resolução CNS n.º 738/2024 e complementa o Bloco 6. A pontuação soma-se ao Bloco 6 para o cálculo final.</w:t>
      </w:r>
    </w:p>
    <w:p>
      <w:pPr>
        <w:spacing w:after="40" w:before="0" w:line="252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Condicional — ativada pelo filtro de banco de dados no Passo 0</w:t>
      </w:r>
    </w:p>
    <w:p>
      <w:pPr>
        <w:spacing w:after="40" w:before="0" w:line="252"/>
      </w:pPr>
      <w:r>
        <w:rPr>
          <w:rFonts w:ascii="Arial" w:cs="Arial" w:eastAsia="Arial" w:hAnsi="Arial"/>
          <w:i/>
          <w:iCs/>
          <w:color w:val="555B66"/>
          <w:sz w:val="17"/>
          <w:szCs w:val="17"/>
        </w:rPr>
        <w:t xml:space="preserve">Referência normativa: Resolução CNS n.º 738/2024</w:t>
      </w:r>
    </w:p>
    <w:p>
      <w:pPr>
        <w:pBdr>
          <w:left w:val="single" w:color="D9A441" w:sz="18" w:space="8"/>
        </w:pBdr>
        <w:shd w:fill="FBF3E2" w:val="clear"/>
        <w:spacing w:after="140" w:before="8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Bloco condicional: aplicado apenas quando o Passo 0 indica uso de banco de dados. A pontuação soma ao Bloco 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6"/>
      </w:tblGrid>
      <w:tr>
        <w:trPr>
          <w:tblHeader/>
        </w:trP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e orientação para preenchimento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P6.b.1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7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identifica o Controlador do banco de dados (Art. 3.º, IV da Res. CNS n.º 738/2024) com cargo, função e instituição vinculada?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Identifica o Controlador do banco (Arts. 3.º, IV e 9.º da Res. CNS n.º 738/2024), com cargo, função e instituição. Sem isso, não há cadeia de custódia formalizada sobre os dados. Item do Bloco 6.b (Res. 738), aplicável apenas quando o protocolo usa banco de dados; seus pontos somam ao escore.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P6.b.2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7 pts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Eliminatória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Aceita “Não se aplica”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 o banco foi constituído fora do âmbito de pesquisa (origem não-investigativa: prontuários, registros, bases administrativas): o Termo de Anuência Institucional (Art. 27, VI da Res. CNS n.º 738/2024) está presente?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Verifica o Termo de Anuência Institucional (Art. 27, VI da Res. CNS n.º 738/2024), assinado pelo responsável (dirigente ou pessoa por ele delegada) da instituição de onde os dados provêm — exigível apenas para banco constituído fora do âmbito de pesquisa (origem não-investigativa: prontuários, registros, bases administrativas). Salvaguarda de Inavaliabilidade: nesse caso, sua ausência torna o protocolo "não avaliável pela MARIA" (§7.3.6), independentemente da pontuação total. Marque "Não se aplica" quando o banco foi constituído no âmbito de pesquisa — inclusive reuso de banco de pesquisa anterior do próprio pesquisador —, hipótese regida pelo Art. 24 (Termo de Compromisso de Uso de Dados), que não exige Anuência.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P6.b.3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Termo de Compromisso de Uso de Dados (Arts. 24, V e 27, V da Res. CNS n.º 738/2024) está assinado pelos pesquisadores e anexado ao dossiê?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Confirma o Termo de Compromisso de Uso de Dados, assinado pelos pesquisadores (Arts. 24, V e 27, V da Res. CNS n.º 738/2024). É distinto do Termo de Anuência (P6.b.2): o Compromisso é dos pesquisadores; a Anuência, do responsável (dirigente ou pessoa por ele delegada) da instituição detentora. Item do Bloco 6.b (Res. 738); seus pontos somam ao escore.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P6.b.4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 há pedido de dispensa de TCLE para uso futuro: o enquadramento em uma das cinco hipóteses do Art. 20 da Res. CNS n.º 738/2024 é fundamentado?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dispensa de TCLE para uso futuro só é legítima quando enquadrada em uma das cinco hipóteses taxativas do Art. 20 da Res. CNS n.º 738/2024; justificativa genérica não basta. Item do Bloco 6.b (Res. 738); seus pontos somam ao escore.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P6.b.5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 pts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 o protocolo é multicêntrico: a controladoria conjunta está formalizada em Termo de Acordo Institucional (Art. 3.º, XVI e §2.º do Art. 12 da Res. CNS n.º 738/2024)?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 pesquisa multicêntrica, a controladoria conjunta deve estar formalizada em Termo de Acordo Institucional (Art. 3.º, XVI e §2.º do Art. 12 da Res. CNS n.º 738/2024). Item do Bloco 6.b (Res. 738); seus pontos somam ao escore.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Bloco 7: Mitigação  (máx. 75 pts)</w:t>
      </w:r>
    </w:p>
    <w:p>
      <w:pPr>
        <w:spacing w:after="50" w:before="0" w:line="252"/>
      </w:pPr>
      <w:r>
        <w:rPr>
          <w:rFonts w:ascii="Arial" w:cs="Arial" w:eastAsia="Arial" w:hAnsi="Arial"/>
          <w:sz w:val="19"/>
          <w:szCs w:val="19"/>
        </w:rPr>
        <w:t xml:space="preserve">Avalia consultas regulatórias e medidas de mitigação de risco. Pode reduzir a pontuação total do protocolo.</w:t>
      </w:r>
    </w:p>
    <w:p>
      <w:pPr>
        <w:spacing w:after="40" w:before="0" w:line="252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Bidirecional — Consultas adicionam pontos; Mitigações subtraem pontos</w:t>
      </w:r>
    </w:p>
    <w:p>
      <w:pPr>
        <w:pBdr>
          <w:left w:val="single" w:color="D9A441" w:sz="18" w:space="8"/>
        </w:pBdr>
        <w:shd w:fill="FBF3E2" w:val="clear"/>
        <w:spacing w:after="140" w:before="80"/>
      </w:pPr>
      <w:r>
        <w:rPr>
          <w:rFonts w:ascii="Arial" w:cs="Arial" w:eastAsia="Arial" w:hAnsi="Arial"/>
          <w:color w:val="555B66"/>
          <w:sz w:val="19"/>
          <w:szCs w:val="19"/>
        </w:rPr>
        <w:t xml:space="preserve">O “máx. 75 pts” indica a amplitude total do bloco — não um teto somável de risco: as duas consultas (P7.1, P7.2) somam no máximo +10 pts; as oito mitigações (P7.3–P7.10) podem subtrair até −65 pts, com piso de zero no bloco.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6"/>
      </w:tblGrid>
      <w:tr>
        <w:trPr>
          <w:tblHeader/>
        </w:trP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e orientação para preenchimento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P7.1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 pts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Aceita “Não se aplica”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Consulta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foi submetido a consulta prévia com a ANVISA sobre o enquadramento do sistema como SaMD?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SaMD (Software as a Medical Device) é software com finalidade médica — diagnóstico, prognóstico, monitoramento ou orientação terapêutica — regulado pela RDC ANVISA n.º 657/2022 (alinhada ao framework IMDRF). A consulta prévia (de enquadramento ou pré-submissão) é o mecanismo formal pelo qual a ANVISA se manifesta sobre se o sistema é dispositivo médico e qual a classe de risco. É especialmente importante quando o sistema gera saída que orienta ou dirige decisão clínica, está integrado a equipamento médico, processa imagens/sinais com IA para gerar recomendação, ou usa IA generativa em contexto clínico. Marque "Não se aplica" SOMENTE se o sistema comprovadamente não tem qualquer pretensão diagnóstica, prognóstica, terapêutica ou de orientação clínica (ex.: análise secundária retrospectiva sem feedback ao participante, gestão administrativa de pesquisa, pré-processamento de dados sem saída interpretativa). Qualquer dúvida razoável de enquadramento → a consulta deve ser feita.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P7.2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5 pts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Consulta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prevê engajamento com o fabricante ou desenvolvedor do sistema para esclarecimento de dúvidas técnicas durante o estudo?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 engajamento com o fabricante/desenvolvedor durante o estudo dá acesso a informações técnicas relevantes para esclarecer dúvidas e tratar falhas — reduz a dependência de uma caixa-preta sem suporte.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P7.3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-10 pts (se “Sim”)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Mitigação (subtrai)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garante que um profissional habilitado revisa toda decisão gerada pelo sistema antes de sua execução?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revisão humana obrigatória antes da execução é a mitigação mais eficaz: reinsere a barreira de segurança entre a recomendação e a ação. Item de mitigação (Bloco 7, bidirecional): "Sim" subtrai pontos; "Não" os mantém — o bloco tem piso de zero.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P7.4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-8 pts (se “Sim”)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Mitigação (subtrai)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fornece, junto a cada resultado, uma explicação compreensível sobre os fatores que influenciaram aquele resultado?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explicação compreensível de cada resultado permite supervisão humana real, não apenas formal. Item de mitigação (Bloco 7, bidirecional): "Sim" subtrai pontos; "Não" os mantém — o bloco tem piso de zero.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P7.5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-10 pts (se “Sim”)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Mitigação (subtrai)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prevê monitoramento contínuo do desempenho do sistema após o início do uso, com critérios definidos para interrupção?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Monitoramento contínuo com critérios definidos de interrupção permite detectar e conter perda de desempenho durante o uso. Item de mitigação (Bloco 7, bidirecional): "Sim" subtrai pontos; "Não" os mantém — o bloco tem piso de zero.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P7.6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-8 pts (se “Sim”)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Mitigação (subtrai)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Existe procedimento documentado para falha, indisponibilidade ou resultado inconsistente do sistema durante o estudo?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Procedimento documentado para falha, indisponibilidade ou resultado inconsistente garante resposta segura quando o sistema falha. Item de mitigação (Bloco 7, bidirecional): "Sim" subtrai pontos; "Não" os mantém — o bloco tem piso de zero.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P7.7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-8 pts (se “Sim”)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Mitigação (subtrai)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prevê como e quando o modelo será retreinado, e quem autoriza essa atualização?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Definir como, quando e quem autoriza o retreinamento evita mudanças imprevisíveis no comportamento do sistema. Item de mitigação (Bloco 7, bidirecional): "Sim" subtrai pontos; "Não" os mantém — o bloco tem piso de zero.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P7.8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-7 pts (se “Sim”)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Mitigação (subtrai)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 equipe responsável tem competência técnica suficiente para interpretar os resultados do sistema e identificar falhas?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Equipe com competência técnica para interpretar resultados e identificar falhas torna a supervisão efetiva. Item de mitigação (Bloco 7, bidirecional): "Sim" subtrai pontos; "Não" os mantém — o bloco tem piso de zero.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P7.9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-7 pts (se “Sim”)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Mitigação (subtrai)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prevê monitoramento de deriva de dados (data drift) / degradação do desempenho ao longo do tempo?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Monitorar deriva de dados (data drift) previne a degradação silenciosa do desempenho ao longo do tempo. Item de mitigação (Bloco 7, bidirecional): "Sim" subtrai pontos; "Não" os mantém — o bloco tem piso de zero.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P7.10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Peso: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-7 pts (se “Sim”)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Mitigação (subtrai)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descreve responsabilidade humana clara e identificada em caso de erro ou dano decorrente do sistema?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Responsabilidade humana clara e identificada em caso de erro ou dano protege o participante e evita zona cinzenta de imputação. Item de mitigação (Bloco 7, bidirecional): "Sim" subtrai pontos; "Não" os mantém — o bloco tem piso de zero.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  <w:spacing w:after="14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3. Como ler o resultado</w:t>
      </w:r>
    </w:p>
    <w:p>
      <w:pPr>
        <w:spacing w:after="80" w:before="0" w:line="252"/>
      </w:pPr>
      <w:r>
        <w:rPr>
          <w:rFonts w:ascii="Arial" w:cs="Arial" w:eastAsia="Arial" w:hAnsi="Arial"/>
        </w:rPr>
        <w:t xml:space="preserve">Some os pontos de todos os blocos aplicáveis e compare com os pontos de corte. Atenção às salvaguardas: a Cláusula de Prevalência (Bloco 4) força Nível IV; questão eliminatória (P6.b.2) respondida no sentido de risco torna o protocolo “não avaliável pela MARIA”.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6626"/>
      </w:tblGrid>
      <w:tr>
        <w:trPr>
          <w:tblHeader/>
        </w:trPr>
        <w:tc>
          <w:tcPr>
            <w:tcW w:type="dxa" w:w="9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15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Rótulo</w:t>
            </w:r>
          </w:p>
        </w:tc>
        <w:tc>
          <w:tcPr>
            <w:tcW w:type="dxa" w:w="662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</w:t>
            </w:r>
          </w:p>
        </w:tc>
        <w:tc>
          <w:tcPr>
            <w:tcW w:type="dxa" w:w="15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Baixo</w:t>
            </w:r>
          </w:p>
        </w:tc>
        <w:tc>
          <w:tcPr>
            <w:tcW w:type="dxa" w:w="662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Risco baixo — requisitos mínimos de documentação e transparência.</w:t>
            </w:r>
          </w:p>
        </w:tc>
      </w:tr>
      <w:tr>
        <w:tc>
          <w:tcPr>
            <w:tcW w:type="dxa" w:w="9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II</w:t>
            </w:r>
          </w:p>
        </w:tc>
        <w:tc>
          <w:tcPr>
            <w:tcW w:type="dxa" w:w="15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Moderado</w:t>
            </w:r>
          </w:p>
        </w:tc>
        <w:tc>
          <w:tcPr>
            <w:tcW w:type="dxa" w:w="662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Risco moderado — exige descrição do sistema e conformidade com a LGPD.</w:t>
            </w:r>
          </w:p>
        </w:tc>
      </w:tr>
      <w:tr>
        <w:tc>
          <w:tcPr>
            <w:tcW w:type="dxa" w:w="9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III</w:t>
            </w:r>
          </w:p>
        </w:tc>
        <w:tc>
          <w:tcPr>
            <w:tcW w:type="dxa" w:w="15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Alto</w:t>
            </w:r>
          </w:p>
        </w:tc>
        <w:tc>
          <w:tcPr>
            <w:tcW w:type="dxa" w:w="662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Risco alto — exige validação técnica, análise por subgrupos e supervisão humana efetiva.</w:t>
            </w:r>
          </w:p>
        </w:tc>
      </w:tr>
      <w:tr>
        <w:tc>
          <w:tcPr>
            <w:tcW w:type="dxa" w:w="9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IV</w:t>
            </w:r>
          </w:p>
        </w:tc>
        <w:tc>
          <w:tcPr>
            <w:tcW w:type="dxa" w:w="15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Crítico</w:t>
            </w:r>
          </w:p>
        </w:tc>
        <w:tc>
          <w:tcPr>
            <w:tcW w:type="dxa" w:w="662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Risco crítico — exige parecer técnico externo, monitoramento contínuo e notificação à ANVISA quando aplicável.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Anexo — Requisitos por nível (cumulativos)</w:t>
      </w:r>
    </w:p>
    <w:p>
      <w:pPr>
        <w:spacing w:after="80" w:before="0" w:line="252"/>
      </w:pPr>
      <w:r>
        <w:rPr>
          <w:rFonts w:ascii="Arial" w:cs="Arial" w:eastAsia="Arial" w:hAnsi="Arial"/>
          <w:sz w:val="19"/>
          <w:szCs w:val="19"/>
        </w:rPr>
        <w:t xml:space="preserve">Requisitos que o protocolo deve atender conforme o nível atribuído. São cumulativos: cada nível soma-se aos anteriores.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766E"/>
          <w:sz w:val="19"/>
          <w:szCs w:val="19"/>
        </w:rPr>
        <w:t xml:space="preserve">Nível I (Baixo) — requisitos acumulados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Declaração de uso de IA no protocolo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Menção no TCLE de que um sistema algorítmico será utilizado e qual é o seu papel no estudo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555B66"/>
          <w:sz w:val="18"/>
          <w:szCs w:val="18"/>
        </w:rPr>
        <w:t xml:space="preserve">Identificação do Controlador do banco de dados (Art. 3.º, IV da Res. CNS n.º 738/2024)  [Res. 738 — só com banco de dados]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766E"/>
          <w:sz w:val="19"/>
          <w:szCs w:val="19"/>
        </w:rPr>
        <w:t xml:space="preserve">Nível II (Moderado) — requisitos acumulados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Descrição do sistema e origem dos dados de treinamento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Demonstração de conformidade com a LGPD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Indicação da base legal para o tratamento dos dados utilizados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555B66"/>
          <w:sz w:val="18"/>
          <w:szCs w:val="18"/>
        </w:rPr>
        <w:t xml:space="preserve">Termo de Compromisso de Uso de Dados assinado pelos pesquisadores (Arts. 24, V e 27, V da Res. CNS n.º 738/2024)  [Res. 738 — só com banco de dados]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555B66"/>
          <w:sz w:val="18"/>
          <w:szCs w:val="18"/>
        </w:rPr>
        <w:t xml:space="preserve">Termo de Anuência Institucional para bancos externos à pesquisa (Art. 27, VI da Res. CNS n.º 738/2024) — obrigatório/eliminatório  [Res. 738 — só com banco de dados]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766E"/>
          <w:sz w:val="19"/>
          <w:szCs w:val="19"/>
        </w:rPr>
        <w:t xml:space="preserve">Nível III (Alto) — requisitos acumulados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Documentação de validação técnica do sistema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Análise de desempenho por subgrupos populacionais relevantes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Comprovação de mecanismo de supervisão humana efetiva no circuito decisório (human-in-the-loop)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Identificação do Encarregado de Dados da instituição responsável pelo estudo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555B66"/>
          <w:sz w:val="18"/>
          <w:szCs w:val="18"/>
        </w:rPr>
        <w:t xml:space="preserve">Fundamentação do enquadramento de dispensa de TCLE nas cinco hipóteses do Art. 20 da Res. CNS n.º 738/2024  [Res. 738 — só com banco de dados]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555B66"/>
          <w:sz w:val="18"/>
          <w:szCs w:val="18"/>
        </w:rPr>
        <w:t xml:space="preserve">Termo de Acordo Institucional para controladoria conjunta em protocolos multicêntricos (Art. 3.º, XVI e §2.º do Art. 12 da Res. CNS n.º 738/2024)  [Res. 738 — só com banco de dados]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766E"/>
          <w:sz w:val="19"/>
          <w:szCs w:val="19"/>
        </w:rPr>
        <w:t xml:space="preserve">Nível IV (Crítico) — requisitos acumulados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Parecer técnico externo sobre o sistema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Plano de monitoramento contínuo com critérios definidos de interrupção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Notificação à ANVISA quando o sistema se enquadrar como SaMD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Submissão do protocolo à apreciação em instância superior do CEP, quando prevista no regimento institucional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555B66"/>
          <w:sz w:val="18"/>
          <w:szCs w:val="18"/>
        </w:rPr>
        <w:t xml:space="preserve">Diligência obrigatória (§7.3.6 do Capítulo 7 da Res. CNS n.º 738/2024) sempre que configurada ausência de cadeia de custódia formalizada  [Res. 738 — só com banco de dados]</w:t>
      </w:r>
    </w:p>
    <w:p>
      <w:pPr>
        <w:spacing w:after="120" w:before="160" w:line="252"/>
      </w:pPr>
      <w:r>
        <w:rPr>
          <w:rFonts w:ascii="Arial" w:cs="Arial" w:eastAsia="Arial" w:hAnsi="Arial"/>
          <w:i/>
          <w:iCs/>
          <w:color w:val="555B66"/>
          <w:sz w:val="18"/>
          <w:szCs w:val="18"/>
        </w:rPr>
        <w:t xml:space="preserve">Observações e críticas técnicas podem ser encaminhadas à CGREP (cgrep@saude.gov.br).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tabs>
        <w:tab w:val="right" w:pos="9026"/>
      </w:tabs>
    </w:pPr>
    <w:r>
      <w:rPr>
        <w:rFonts w:ascii="Arial" w:cs="Arial" w:eastAsia="Arial" w:hAnsi="Arial"/>
        <w:color w:val="555B66"/>
        <w:sz w:val="15"/>
        <w:szCs w:val="15"/>
      </w:rPr>
      <w:t xml:space="preserve">Ministério da Saúde · INAEP — versão preliminar (em revisão)</w:t>
    </w:r>
    <w:r>
      <w:rPr>
        <w:rFonts w:ascii="Arial" w:cs="Arial" w:eastAsia="Arial" w:hAnsi="Arial"/>
        <w:color w:val="555B66"/>
        <w:sz w:val="15"/>
        <w:szCs w:val="15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4"/>
      </w:pBdr>
    </w:pPr>
    <w:r>
      <w:rPr>
        <w:rFonts w:ascii="Arial" w:cs="Arial" w:eastAsia="Arial" w:hAnsi="Arial"/>
        <w:color w:val="0F766E"/>
        <w:sz w:val="15"/>
        <w:szCs w:val="15"/>
      </w:rPr>
      <w:t xml:space="preserve">MARIA — Matriz de Avaliação de Risco em Inteligência Artificial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2026-06-25T13:24:12.528Z</dcterms:created>
  <dcterms:modified xsi:type="dcterms:W3CDTF">2026-06-25T13:24:12.528Z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