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B63" w14:textId="77777777" w:rsidR="002214C8" w:rsidRPr="00903152" w:rsidRDefault="00000000" w:rsidP="00903152">
      <w:p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i/>
          <w:iCs/>
          <w:color w:val="6B7280"/>
          <w:sz w:val="24"/>
          <w:szCs w:val="24"/>
        </w:rPr>
        <w:t>Nota técnica de transparência metodológica</w:t>
      </w:r>
    </w:p>
    <w:p w14:paraId="1771DB94" w14:textId="77777777" w:rsidR="002214C8" w:rsidRPr="00903152" w:rsidRDefault="00000000" w:rsidP="0090315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b/>
          <w:bCs/>
          <w:color w:val="0F766E"/>
          <w:sz w:val="24"/>
          <w:szCs w:val="24"/>
        </w:rPr>
        <w:t>Premissas da classificação de risco da MARIA</w:t>
      </w:r>
    </w:p>
    <w:p w14:paraId="060184ED" w14:textId="167B9215" w:rsidR="002214C8" w:rsidRPr="00903152" w:rsidRDefault="00000000" w:rsidP="00903152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i/>
          <w:iCs/>
          <w:color w:val="6B7280"/>
          <w:sz w:val="24"/>
          <w:szCs w:val="24"/>
        </w:rPr>
        <w:t>MARIA Matriz de Avaliação de Risco em Inteligência Artificial · Versão preliminar · Junho de 2026</w:t>
      </w:r>
    </w:p>
    <w:p w14:paraId="03552881" w14:textId="0279E09D" w:rsidR="002214C8" w:rsidRPr="00903152" w:rsidRDefault="00000000" w:rsidP="0090315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Este documento explicita</w:t>
      </w:r>
      <w:r w:rsidR="00903152">
        <w:rPr>
          <w:rFonts w:ascii="Times New Roman" w:hAnsi="Times New Roman" w:cs="Times New Roman"/>
          <w:sz w:val="24"/>
          <w:szCs w:val="24"/>
        </w:rPr>
        <w:t xml:space="preserve"> </w:t>
      </w:r>
      <w:r w:rsidRPr="00903152">
        <w:rPr>
          <w:rFonts w:ascii="Times New Roman" w:hAnsi="Times New Roman" w:cs="Times New Roman"/>
          <w:sz w:val="24"/>
          <w:szCs w:val="24"/>
        </w:rPr>
        <w:t xml:space="preserve">as premissas que sustentam a classificação de risco produzida pela MARIA. </w:t>
      </w:r>
      <w:r w:rsidR="009C4836" w:rsidRPr="00903152">
        <w:rPr>
          <w:rFonts w:ascii="Times New Roman" w:hAnsi="Times New Roman" w:cs="Times New Roman"/>
          <w:sz w:val="24"/>
          <w:szCs w:val="24"/>
        </w:rPr>
        <w:t xml:space="preserve">Este texto é para leitores técnicos, como estatísticos, metodologistas, integrantes de CEP e pesquisadores, que precisam auditar, criticar ou entender as decisões do instrumento. </w:t>
      </w:r>
      <w:r w:rsidRPr="00903152">
        <w:rPr>
          <w:rFonts w:ascii="Times New Roman" w:hAnsi="Times New Roman" w:cs="Times New Roman"/>
          <w:sz w:val="24"/>
          <w:szCs w:val="24"/>
        </w:rPr>
        <w:t>Não constitui convite à condução de validação por nenhum leitor em particular: a validação empírica é prospectiva e tem trajetória própria, descrita ao final.</w:t>
      </w:r>
    </w:p>
    <w:p w14:paraId="7116BF96" w14:textId="77777777" w:rsidR="00903152" w:rsidRDefault="00903152">
      <w:pPr>
        <w:spacing w:after="12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As premissas da MARIA organizam-se em três camadas: (i) o que decorre da norma; (ii) o que foi adotado na elaboração da matriz, com base no referencial normativo e na literatura sistematizada no próprio Guia; e (iii) o que permanece pendente de validação empírica, objeto do protocolo descrito no Apêndice F do Guia. O documento apresenta as principais decisões metodológicas e suas justificativas, indicando o que já pode ser submetido a julgamento técnico e o que, por ora, ainda não pode.</w:t>
      </w:r>
    </w:p>
    <w:p w14:paraId="0D4554C8" w14:textId="77777777" w:rsidR="002214C8" w:rsidRPr="00903152" w:rsidRDefault="00000000" w:rsidP="00903152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1. Camada normativa (não está em discussão)</w:t>
      </w:r>
    </w:p>
    <w:p w14:paraId="37D22C16" w14:textId="531ED27B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Os quatro níveis de risco (I, II, III, IV) seguem a categorização do Conselho Nacional de Saúde</w:t>
      </w:r>
      <w:r w:rsidR="009E0D48" w:rsidRPr="00903152">
        <w:rPr>
          <w:rFonts w:ascii="Times New Roman" w:hAnsi="Times New Roman" w:cs="Times New Roman"/>
          <w:sz w:val="24"/>
          <w:szCs w:val="24"/>
        </w:rPr>
        <w:t>, quais sejam:</w:t>
      </w:r>
      <w:r w:rsidRPr="00903152">
        <w:rPr>
          <w:rFonts w:ascii="Times New Roman" w:hAnsi="Times New Roman" w:cs="Times New Roman"/>
          <w:sz w:val="24"/>
          <w:szCs w:val="24"/>
        </w:rPr>
        <w:t xml:space="preserve"> baixo, moderado, alto e crítico</w:t>
      </w:r>
      <w:r w:rsidR="009E0D48" w:rsidRPr="00903152">
        <w:rPr>
          <w:rFonts w:ascii="Times New Roman" w:hAnsi="Times New Roman" w:cs="Times New Roman"/>
          <w:sz w:val="24"/>
          <w:szCs w:val="24"/>
        </w:rPr>
        <w:t>,</w:t>
      </w:r>
      <w:r w:rsidRPr="00903152">
        <w:rPr>
          <w:rFonts w:ascii="Times New Roman" w:hAnsi="Times New Roman" w:cs="Times New Roman"/>
          <w:sz w:val="24"/>
          <w:szCs w:val="24"/>
        </w:rPr>
        <w:t xml:space="preserve"> fixada pelas Resoluções CNS n.º 466/2012, 510/2016 e 738/2024.</w:t>
      </w:r>
    </w:p>
    <w:p w14:paraId="14F22103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A escala é tratada como ordinal, não intervalar: não se assume que a distância semântica entre Nível I e II equivalha à distância entre Nível III e IV.</w:t>
      </w:r>
    </w:p>
    <w:p w14:paraId="27E91B7A" w14:textId="6BA411AF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Os eixos temáticos da Versão A (Eixos 1 a 5, e o Eixo 3.b condicional à Res. 738) derivam do mapeamento normativo e da literatura ética sobre IA em pesquisa com seres humanos. Foram tratados como dimensões conceitualmente independentes do risco</w:t>
      </w:r>
      <w:r w:rsidR="009E0D48" w:rsidRPr="00903152">
        <w:rPr>
          <w:rFonts w:ascii="Times New Roman" w:hAnsi="Times New Roman" w:cs="Times New Roman"/>
          <w:sz w:val="24"/>
          <w:szCs w:val="24"/>
        </w:rPr>
        <w:t>, ou seja,</w:t>
      </w:r>
      <w:r w:rsidRPr="00903152">
        <w:rPr>
          <w:rFonts w:ascii="Times New Roman" w:hAnsi="Times New Roman" w:cs="Times New Roman"/>
          <w:sz w:val="24"/>
          <w:szCs w:val="24"/>
        </w:rPr>
        <w:t xml:space="preserve"> uma decisão teórica, não um achado empírico.</w:t>
      </w:r>
    </w:p>
    <w:p w14:paraId="34CFD151" w14:textId="72D1FDA4" w:rsidR="002214C8" w:rsidRPr="00903152" w:rsidRDefault="00000000" w:rsidP="00903152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2. Camada de elaboração</w:t>
      </w:r>
      <w:r w:rsidR="009E0D48" w:rsidRPr="00903152">
        <w:rPr>
          <w:rFonts w:ascii="Times New Roman" w:hAnsi="Times New Roman" w:cs="Times New Roman"/>
          <w:sz w:val="24"/>
          <w:szCs w:val="24"/>
        </w:rPr>
        <w:t xml:space="preserve">: </w:t>
      </w:r>
      <w:r w:rsidRPr="00903152">
        <w:rPr>
          <w:rFonts w:ascii="Times New Roman" w:hAnsi="Times New Roman" w:cs="Times New Roman"/>
          <w:sz w:val="24"/>
          <w:szCs w:val="24"/>
        </w:rPr>
        <w:t>decisões adotadas na construção da matriz</w:t>
      </w:r>
    </w:p>
    <w:p w14:paraId="239DDA88" w14:textId="7E3D4B89" w:rsidR="002214C8" w:rsidRPr="00903152" w:rsidRDefault="00000000" w:rsidP="00903152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 xml:space="preserve">As decisões aqui descritas foram adotadas pela organização na elaboração da matriz, a partir do referencial normativo e da literatura sistematizada para o Guia. </w:t>
      </w:r>
      <w:r w:rsidR="009E0D48" w:rsidRPr="00903152">
        <w:rPr>
          <w:rFonts w:ascii="Times New Roman" w:hAnsi="Times New Roman" w:cs="Times New Roman"/>
          <w:sz w:val="24"/>
          <w:szCs w:val="24"/>
        </w:rPr>
        <w:t xml:space="preserve">A matriz, agora na versão do Guia para o GT (Junho/2026), está aberta a sugestões editoriais e de mérito, pois não </w:t>
      </w:r>
      <w:r w:rsidR="009E0D48" w:rsidRPr="00903152">
        <w:rPr>
          <w:rFonts w:ascii="Times New Roman" w:hAnsi="Times New Roman" w:cs="Times New Roman"/>
          <w:sz w:val="24"/>
          <w:szCs w:val="24"/>
        </w:rPr>
        <w:lastRenderedPageBreak/>
        <w:t>reflete a deliberação colegiada do Grupo de Trabalho.</w:t>
      </w:r>
      <w:r w:rsidRPr="00903152">
        <w:rPr>
          <w:rFonts w:ascii="Times New Roman" w:hAnsi="Times New Roman" w:cs="Times New Roman"/>
          <w:sz w:val="24"/>
          <w:szCs w:val="24"/>
        </w:rPr>
        <w:t xml:space="preserve"> Eventuais ajustes a essas decisões serão consolidados ao final do período de leitura.</w:t>
      </w:r>
    </w:p>
    <w:p w14:paraId="79D55F88" w14:textId="1C06EAF1" w:rsidR="002214C8" w:rsidRPr="00903152" w:rsidRDefault="00000000" w:rsidP="00903152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2.1 Versão A</w:t>
      </w:r>
      <w:r w:rsidR="009E0D48" w:rsidRPr="00903152">
        <w:rPr>
          <w:rFonts w:ascii="Times New Roman" w:hAnsi="Times New Roman" w:cs="Times New Roman"/>
          <w:sz w:val="24"/>
          <w:szCs w:val="24"/>
        </w:rPr>
        <w:t>:</w:t>
      </w:r>
      <w:r w:rsidRPr="00903152">
        <w:rPr>
          <w:rFonts w:ascii="Times New Roman" w:hAnsi="Times New Roman" w:cs="Times New Roman"/>
          <w:sz w:val="24"/>
          <w:szCs w:val="24"/>
        </w:rPr>
        <w:t xml:space="preserve"> regra qualitativa por eixo</w:t>
      </w:r>
    </w:p>
    <w:p w14:paraId="09BED33B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Thresholds por eixo (regra padrão): 0 questões de risco → Nível I; 1–2 → Nível II; 3–4 → Nível III; 5 ou mais → Nível IV. Calibração teórica, não derivada de dados.</w:t>
      </w:r>
    </w:p>
    <w:p w14:paraId="78BA246B" w14:textId="2BCC4E79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 xml:space="preserve">Regra de consolidação por máximo: o nível final é o mais alto observado entre todos os eixos aplicáveis. </w:t>
      </w:r>
      <w:r w:rsidRPr="00903152">
        <w:rPr>
          <w:rFonts w:ascii="Times New Roman" w:hAnsi="Times New Roman" w:cs="Times New Roman"/>
          <w:b/>
          <w:bCs/>
          <w:sz w:val="24"/>
          <w:szCs w:val="24"/>
        </w:rPr>
        <w:t>Trata-se de decisão deliberadamente conservadora, alinhada ao princípio da precaução em ética de pesquisa</w:t>
      </w:r>
      <w:r w:rsidR="009E0D48" w:rsidRPr="00903152">
        <w:rPr>
          <w:rFonts w:ascii="Times New Roman" w:hAnsi="Times New Roman" w:cs="Times New Roman"/>
          <w:sz w:val="24"/>
          <w:szCs w:val="24"/>
        </w:rPr>
        <w:t>. As</w:t>
      </w:r>
      <w:r w:rsidRPr="00903152">
        <w:rPr>
          <w:rFonts w:ascii="Times New Roman" w:hAnsi="Times New Roman" w:cs="Times New Roman"/>
          <w:sz w:val="24"/>
          <w:szCs w:val="24"/>
        </w:rPr>
        <w:t xml:space="preserve"> alternativas estatísticas (média, mediana, soma ponderada) foram preteridas na elaboração por suavizarem sinais críticos em eixos específicos.</w:t>
      </w:r>
    </w:p>
    <w:p w14:paraId="18142099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Regra especial do Eixo 3.b (Res. 738/2024): 0 → Nível I (não eleva); 1–2 → Nível III; 3 ou mais → Nível IV. O Nível II é deliberadamente saltado neste eixo, refletindo o entendimento de que problemas com bancos de dados de pesquisa não admitem categoria moderada intermediária.</w:t>
      </w:r>
    </w:p>
    <w:p w14:paraId="57334D7F" w14:textId="3582BCAF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Questões eliminatórias (modo Res. 738): quando acionadas, classificam o protocolo como “não avaliável pela MARIA”</w:t>
      </w:r>
      <w:r w:rsidR="00903152">
        <w:rPr>
          <w:rFonts w:ascii="Times New Roman" w:hAnsi="Times New Roman" w:cs="Times New Roman"/>
          <w:sz w:val="24"/>
          <w:szCs w:val="24"/>
        </w:rPr>
        <w:t xml:space="preserve">, </w:t>
      </w:r>
      <w:r w:rsidRPr="00903152">
        <w:rPr>
          <w:rFonts w:ascii="Times New Roman" w:hAnsi="Times New Roman" w:cs="Times New Roman"/>
          <w:sz w:val="24"/>
          <w:szCs w:val="24"/>
        </w:rPr>
        <w:t>saída categorial que sobrescreve a soma e exige análise individualizada do colegiado.</w:t>
      </w:r>
    </w:p>
    <w:p w14:paraId="6630D8A7" w14:textId="3F2869FA" w:rsidR="002214C8" w:rsidRPr="00903152" w:rsidRDefault="00000000" w:rsidP="00903152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2.2 Versão B</w:t>
      </w:r>
      <w:r w:rsidR="00903152">
        <w:rPr>
          <w:rFonts w:ascii="Times New Roman" w:hAnsi="Times New Roman" w:cs="Times New Roman"/>
          <w:sz w:val="24"/>
          <w:szCs w:val="24"/>
        </w:rPr>
        <w:t>:</w:t>
      </w:r>
      <w:r w:rsidRPr="00903152">
        <w:rPr>
          <w:rFonts w:ascii="Times New Roman" w:hAnsi="Times New Roman" w:cs="Times New Roman"/>
          <w:sz w:val="24"/>
          <w:szCs w:val="24"/>
        </w:rPr>
        <w:t xml:space="preserve"> pontuação quantitativa por bloco</w:t>
      </w:r>
    </w:p>
    <w:p w14:paraId="7AF45E7F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Pesos por questão dentro de cada um dos sete blocos foram atribuídos na elaboração da matriz, com base no referencial normativo e na literatura. Não houve, nesta fase, deliberação colegiada com voto ponderado, análise fatorial confirmatória, regressão sobre desfechos éticos, nem elicitação probabilística estruturada (Delphi quantitativo).</w:t>
      </w:r>
    </w:p>
    <w:p w14:paraId="0BDA3A8E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Modelo aditivo: a pontuação total é a soma das pontuações dos blocos. Assume-se aditividade dos efeitos de risco; não há termos de interação nem ponderação multiplicativa entre blocos.</w:t>
      </w:r>
    </w:p>
    <w:p w14:paraId="4E051C32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Cláusula de Prevalência Ética: se P4.1 ou P4.2 = Sim, o protocolo é forçado a Nível IV, sobrescrevendo a soma. Trata-se de regra deontológica embutida na escala — quebra deliberada da aditividade, adotada na elaboração como salvaguarda ética.</w:t>
      </w:r>
    </w:p>
    <w:p w14:paraId="3517965D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Bloco 7 (Mitigação) é bidirecional: questões somam pontos quando “Não” (sem mitigação, risco preservado) e subtraem quando “Sim” (mitigação aplicada), com piso de zero. A mitigação reduz o escore mas não gera “crédito” transferível abaixo de zero.</w:t>
      </w:r>
    </w:p>
    <w:p w14:paraId="64F02C59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lastRenderedPageBreak/>
        <w:t>Pontos de corte para os quatro níveis: calibrados teoricamente, com ajuste proporcional quando o Eixo 6.b (Res. 738) está ativo. Os limites operacionais estão na Tabela 1.</w:t>
      </w:r>
    </w:p>
    <w:p w14:paraId="6CE245DE" w14:textId="355C1F49" w:rsidR="002214C8" w:rsidRPr="00903152" w:rsidRDefault="00000000" w:rsidP="00903152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Tabela 1 Pontos de corte da Versão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14C8" w:rsidRPr="00903152" w14:paraId="10070C1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594C" w14:textId="77777777" w:rsidR="002214C8" w:rsidRPr="00903152" w:rsidRDefault="00000000" w:rsidP="009031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Cenário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97FE" w14:textId="77777777" w:rsidR="002214C8" w:rsidRPr="00903152" w:rsidRDefault="00000000" w:rsidP="009031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Pontuação máxima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CDE2" w14:textId="77777777" w:rsidR="002214C8" w:rsidRPr="00903152" w:rsidRDefault="00000000" w:rsidP="009031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Faixas (I · II · III · IV)</w:t>
            </w:r>
          </w:p>
        </w:tc>
      </w:tr>
      <w:tr w:rsidR="002214C8" w:rsidRPr="00903152" w14:paraId="0C6930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1ED9" w14:textId="77777777" w:rsidR="002214C8" w:rsidRPr="00903152" w:rsidRDefault="00000000" w:rsidP="009031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sz w:val="24"/>
                <w:szCs w:val="24"/>
              </w:rPr>
              <w:t>Sem banco de dados (Blocos 1–7)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64E5" w14:textId="77777777" w:rsidR="002214C8" w:rsidRPr="00903152" w:rsidRDefault="00000000" w:rsidP="009031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54A0" w14:textId="77777777" w:rsidR="002214C8" w:rsidRPr="00903152" w:rsidRDefault="00000000" w:rsidP="009031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sz w:val="24"/>
                <w:szCs w:val="24"/>
              </w:rPr>
              <w:t>≤0–50 · 51–110 · 111–180 · ≥181</w:t>
            </w:r>
          </w:p>
        </w:tc>
      </w:tr>
      <w:tr w:rsidR="002214C8" w:rsidRPr="00903152" w14:paraId="3C8182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140A" w14:textId="77777777" w:rsidR="002214C8" w:rsidRPr="00903152" w:rsidRDefault="00000000" w:rsidP="009031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sz w:val="24"/>
                <w:szCs w:val="24"/>
              </w:rPr>
              <w:t>Com banco de dados (inclui Bloco 6.b, Res. 738)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A3FF" w14:textId="77777777" w:rsidR="002214C8" w:rsidRPr="00903152" w:rsidRDefault="00000000" w:rsidP="009031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1161" w14:textId="77777777" w:rsidR="002214C8" w:rsidRPr="00903152" w:rsidRDefault="00000000" w:rsidP="009031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3152">
              <w:rPr>
                <w:rFonts w:ascii="Times New Roman" w:hAnsi="Times New Roman" w:cs="Times New Roman"/>
                <w:sz w:val="24"/>
                <w:szCs w:val="24"/>
              </w:rPr>
              <w:t>≤0–56 · 57–123 · 124–202 · ≥203</w:t>
            </w:r>
          </w:p>
        </w:tc>
      </w:tr>
      <w:tr w:rsidR="00903152" w:rsidRPr="00903152" w14:paraId="17CF2E93" w14:textId="77777777" w:rsidTr="00EC64B0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C27" w14:textId="54813FDE" w:rsidR="00903152" w:rsidRPr="00903152" w:rsidRDefault="00903152" w:rsidP="0090315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6B7280"/>
                <w:sz w:val="24"/>
                <w:szCs w:val="24"/>
              </w:rPr>
              <w:t xml:space="preserve">Nota: </w:t>
            </w:r>
            <w:r w:rsidRPr="00903152">
              <w:rPr>
                <w:rFonts w:ascii="Times New Roman" w:hAnsi="Times New Roman" w:cs="Times New Roman"/>
                <w:color w:val="6B7280"/>
                <w:sz w:val="24"/>
                <w:szCs w:val="24"/>
              </w:rPr>
              <w:t>Os pontos de corte do cenário “com banco” foram derivados por escalonamento proporcional do cenário base (fator 267/238), preservando a estrutura relativa das faixas. A calibração definitiva é prospectiva — esperam-se ajustes após a observação da distribuição empírica (Frente 2 do Apêndice F).</w:t>
            </w:r>
          </w:p>
        </w:tc>
      </w:tr>
    </w:tbl>
    <w:p w14:paraId="0D83BE97" w14:textId="4D07627D" w:rsidR="002214C8" w:rsidRPr="00903152" w:rsidRDefault="00000000" w:rsidP="00903152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3. Camada empírica</w:t>
      </w:r>
      <w:r w:rsidR="00903152">
        <w:rPr>
          <w:rFonts w:ascii="Times New Roman" w:hAnsi="Times New Roman" w:cs="Times New Roman"/>
          <w:sz w:val="24"/>
          <w:szCs w:val="24"/>
        </w:rPr>
        <w:t xml:space="preserve"> </w:t>
      </w:r>
      <w:r w:rsidRPr="00903152">
        <w:rPr>
          <w:rFonts w:ascii="Times New Roman" w:hAnsi="Times New Roman" w:cs="Times New Roman"/>
          <w:sz w:val="24"/>
          <w:szCs w:val="24"/>
        </w:rPr>
        <w:t>pendente, e objeto do Apêndice F</w:t>
      </w:r>
    </w:p>
    <w:p w14:paraId="123356E3" w14:textId="77777777" w:rsidR="002214C8" w:rsidRPr="00903152" w:rsidRDefault="00000000" w:rsidP="00903152">
      <w:pPr>
        <w:spacing w:after="1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Quando perguntada “como a MARIA foi validada psicometricamente?”, a resposta honesta é: ainda não foi. A validação empírica é prospectiva e ocorrerá na medida em que CEPs adotarem voluntariamente o protocolo descrito no Apêndice F do Guia, conduzindo-o sobre a casuística que efetivamente lhes for submetida. Não há, no momento, especialistas pré-designados nem cronograma centralizado para a validação: o desenho é deliberadamente descentralizado e cumulativo. O Apêndice F define três frentes mínimas:</w:t>
      </w:r>
    </w:p>
    <w:p w14:paraId="56990680" w14:textId="1CDF83E5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b/>
          <w:bCs/>
          <w:sz w:val="24"/>
          <w:szCs w:val="24"/>
        </w:rPr>
        <w:t>Frente 1</w:t>
      </w:r>
      <w:r w:rsidR="009031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3152">
        <w:rPr>
          <w:rFonts w:ascii="Times New Roman" w:hAnsi="Times New Roman" w:cs="Times New Roman"/>
          <w:b/>
          <w:bCs/>
          <w:sz w:val="24"/>
          <w:szCs w:val="24"/>
        </w:rPr>
        <w:t xml:space="preserve"> Confiabilidade interavaliador (Versão A): </w:t>
      </w:r>
      <w:r w:rsidRPr="00903152">
        <w:rPr>
          <w:rFonts w:ascii="Times New Roman" w:hAnsi="Times New Roman" w:cs="Times New Roman"/>
          <w:sz w:val="24"/>
          <w:szCs w:val="24"/>
        </w:rPr>
        <w:t>verifica se dois ou mais membros do CEP, ao aplicarem a Versão A ao mesmo protocolo de forma independente, chegam à mesma classificação</w:t>
      </w:r>
      <w:r w:rsidR="00BA7E35">
        <w:rPr>
          <w:rFonts w:ascii="Times New Roman" w:hAnsi="Times New Roman" w:cs="Times New Roman"/>
          <w:sz w:val="24"/>
          <w:szCs w:val="24"/>
        </w:rPr>
        <w:t xml:space="preserve"> (</w:t>
      </w:r>
      <w:r w:rsidRPr="00903152">
        <w:rPr>
          <w:rFonts w:ascii="Times New Roman" w:hAnsi="Times New Roman" w:cs="Times New Roman"/>
          <w:sz w:val="24"/>
          <w:szCs w:val="24"/>
        </w:rPr>
        <w:t>kappa</w:t>
      </w:r>
      <w:r w:rsidR="00BA7E35">
        <w:rPr>
          <w:rFonts w:ascii="Times New Roman" w:hAnsi="Times New Roman" w:cs="Times New Roman"/>
          <w:sz w:val="24"/>
          <w:szCs w:val="24"/>
        </w:rPr>
        <w:t>).</w:t>
      </w:r>
      <w:r w:rsidRPr="009031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B33A4" w14:textId="2ABA4D7D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b/>
          <w:bCs/>
          <w:sz w:val="24"/>
          <w:szCs w:val="24"/>
        </w:rPr>
        <w:t>Frente 2</w:t>
      </w:r>
      <w:r w:rsidR="009031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3152">
        <w:rPr>
          <w:rFonts w:ascii="Times New Roman" w:hAnsi="Times New Roman" w:cs="Times New Roman"/>
          <w:b/>
          <w:bCs/>
          <w:sz w:val="24"/>
          <w:szCs w:val="24"/>
        </w:rPr>
        <w:t xml:space="preserve"> Distribuição empírica nos quatro níveis (Versão B): </w:t>
      </w:r>
      <w:r w:rsidRPr="00903152">
        <w:rPr>
          <w:rFonts w:ascii="Times New Roman" w:hAnsi="Times New Roman" w:cs="Times New Roman"/>
          <w:sz w:val="24"/>
          <w:szCs w:val="24"/>
        </w:rPr>
        <w:t>examina como a casuística do CEP se distribui nos níveis e identifica concentrações próximas aos pontos de corte, informando ajustes futuros de calibração.</w:t>
      </w:r>
    </w:p>
    <w:p w14:paraId="2818FDEF" w14:textId="1C630B34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b/>
          <w:bCs/>
          <w:sz w:val="24"/>
          <w:szCs w:val="24"/>
        </w:rPr>
        <w:t>Frente 3</w:t>
      </w:r>
      <w:r w:rsidR="009031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3152">
        <w:rPr>
          <w:rFonts w:ascii="Times New Roman" w:hAnsi="Times New Roman" w:cs="Times New Roman"/>
          <w:b/>
          <w:bCs/>
          <w:sz w:val="24"/>
          <w:szCs w:val="24"/>
        </w:rPr>
        <w:t xml:space="preserve"> Convergência entre Versões A e B (modo triagem): </w:t>
      </w:r>
      <w:r w:rsidRPr="00903152">
        <w:rPr>
          <w:rFonts w:ascii="Times New Roman" w:hAnsi="Times New Roman" w:cs="Times New Roman"/>
          <w:sz w:val="24"/>
          <w:szCs w:val="24"/>
        </w:rPr>
        <w:t>tabela de contingência 4×4 cruzando as classificações das duas versões para protocolos avaliados em ambas; permite identificar discordância sistemática entre os dois instrumentos.</w:t>
      </w:r>
    </w:p>
    <w:p w14:paraId="61D28E1E" w14:textId="77777777" w:rsidR="002214C8" w:rsidRPr="00903152" w:rsidRDefault="00000000" w:rsidP="00903152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3.1 O que o Apêndice F deliberadamente NÃO cobre</w:t>
      </w:r>
    </w:p>
    <w:p w14:paraId="65A2FBFF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lastRenderedPageBreak/>
        <w:t>Validade preditiva longitudinal (capacidade do instrumento de prever desfechos éticos reais de protocolos aprovados). Demandaria seguimento prospectivo e está fora do escopo desta primeira fase.</w:t>
      </w:r>
    </w:p>
    <w:p w14:paraId="38AA6371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Validade de construto via análise fatorial confirmatória sobre os eixos da Versão A ou os blocos da Versão B.</w:t>
      </w:r>
    </w:p>
    <w:p w14:paraId="7BB5BEEA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Análise de sensibilidade dos pesos (como variações pequenas nos pontos por questão alteram a classificação de protocolos limítrofes).</w:t>
      </w:r>
    </w:p>
    <w:p w14:paraId="066A012F" w14:textId="77777777" w:rsidR="002214C8" w:rsidRPr="00903152" w:rsidRDefault="00000000" w:rsidP="00903152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Calibração formal dos pontos de corte por curvas ROC contra um padrão-ouro — inexistente para este domínio no estado atual do conhecimento.</w:t>
      </w:r>
    </w:p>
    <w:p w14:paraId="2BBC2A63" w14:textId="77777777" w:rsidR="002214C8" w:rsidRPr="00903152" w:rsidRDefault="00000000" w:rsidP="00903152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>4. Síntese</w:t>
      </w:r>
    </w:p>
    <w:p w14:paraId="1B6DE1F3" w14:textId="77777777" w:rsidR="00903152" w:rsidRDefault="00000000" w:rsidP="00903152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sz w:val="24"/>
          <w:szCs w:val="24"/>
        </w:rPr>
        <w:t xml:space="preserve">A MARIA é um instrumento de classificação de risco com fundamento normativo e teórico, cujas regras foram adotadas na elaboração da matriz a partir do referencial normativo e da literatura sistematizada no Guia, com decisões conservadoras explícitas (regra do máximo na Versão A; Cláusula de Prevalência Ética forçando Nível IV na Versão B). </w:t>
      </w:r>
    </w:p>
    <w:p w14:paraId="44EACED4" w14:textId="77777777" w:rsidR="00903152" w:rsidRDefault="00903152" w:rsidP="00903152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>A escala é ordinal, e sua validação psicométrica é prospectiva, a ser conduzida pelos CEPs que adotarem o instrumento, nos termos do Apêndice F do Guia. As três frentes propostas — confiabilidade interavaliador, distribuição empírica e convergência entre versões — constituem o núcleo mínimo de evidência empírica para futuras revisões do instrumento.</w:t>
      </w:r>
    </w:p>
    <w:p w14:paraId="26862DEF" w14:textId="77777777" w:rsidR="002214C8" w:rsidRPr="00903152" w:rsidRDefault="00000000" w:rsidP="0090315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152">
        <w:rPr>
          <w:rFonts w:ascii="Times New Roman" w:hAnsi="Times New Roman" w:cs="Times New Roman"/>
          <w:i/>
          <w:iCs/>
          <w:sz w:val="24"/>
          <w:szCs w:val="24"/>
        </w:rPr>
        <w:t>Observações e críticas técnicas podem ser encaminhadas, em qualquer momento, à CGREP (cgrep@saude.gov.br) e serão consideradas em ciclos futuros de revisão do Guia e da matriz.</w:t>
      </w:r>
    </w:p>
    <w:sectPr w:rsidR="002214C8" w:rsidRPr="0090315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E5F4" w14:textId="77777777" w:rsidR="00B134D8" w:rsidRDefault="00B134D8">
      <w:r>
        <w:separator/>
      </w:r>
    </w:p>
  </w:endnote>
  <w:endnote w:type="continuationSeparator" w:id="0">
    <w:p w14:paraId="5E98A523" w14:textId="77777777" w:rsidR="00B134D8" w:rsidRDefault="00B1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78A5" w14:textId="77777777" w:rsidR="002214C8" w:rsidRDefault="00000000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C483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· GT INAEP · Ministério da Saúde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495E" w14:textId="77777777" w:rsidR="00B134D8" w:rsidRDefault="00B134D8">
      <w:r>
        <w:separator/>
      </w:r>
    </w:p>
  </w:footnote>
  <w:footnote w:type="continuationSeparator" w:id="0">
    <w:p w14:paraId="539DD887" w14:textId="77777777" w:rsidR="00B134D8" w:rsidRDefault="00B13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4F33" w14:textId="77777777" w:rsidR="002214C8" w:rsidRDefault="00000000">
    <w:pPr>
      <w:jc w:val="right"/>
    </w:pPr>
    <w:r>
      <w:rPr>
        <w:i/>
        <w:iCs/>
        <w:color w:val="6B7280"/>
        <w:sz w:val="16"/>
        <w:szCs w:val="16"/>
      </w:rPr>
      <w:t>MARIA — Nota técnica · Premissas metodológicas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1B5C"/>
    <w:multiLevelType w:val="hybridMultilevel"/>
    <w:tmpl w:val="B06A5D6C"/>
    <w:lvl w:ilvl="0" w:tplc="76D40EF8">
      <w:start w:val="1"/>
      <w:numFmt w:val="bullet"/>
      <w:lvlText w:val="●"/>
      <w:lvlJc w:val="left"/>
      <w:pPr>
        <w:ind w:left="720" w:hanging="360"/>
      </w:pPr>
    </w:lvl>
    <w:lvl w:ilvl="1" w:tplc="81005CAC">
      <w:start w:val="1"/>
      <w:numFmt w:val="bullet"/>
      <w:lvlText w:val="○"/>
      <w:lvlJc w:val="left"/>
      <w:pPr>
        <w:ind w:left="1440" w:hanging="360"/>
      </w:pPr>
    </w:lvl>
    <w:lvl w:ilvl="2" w:tplc="AE1CE924">
      <w:start w:val="1"/>
      <w:numFmt w:val="bullet"/>
      <w:lvlText w:val="■"/>
      <w:lvlJc w:val="left"/>
      <w:pPr>
        <w:ind w:left="2160" w:hanging="360"/>
      </w:pPr>
    </w:lvl>
    <w:lvl w:ilvl="3" w:tplc="9072E5DA">
      <w:start w:val="1"/>
      <w:numFmt w:val="bullet"/>
      <w:lvlText w:val="●"/>
      <w:lvlJc w:val="left"/>
      <w:pPr>
        <w:ind w:left="2880" w:hanging="360"/>
      </w:pPr>
    </w:lvl>
    <w:lvl w:ilvl="4" w:tplc="8A5A26A0">
      <w:start w:val="1"/>
      <w:numFmt w:val="bullet"/>
      <w:lvlText w:val="○"/>
      <w:lvlJc w:val="left"/>
      <w:pPr>
        <w:ind w:left="3600" w:hanging="360"/>
      </w:pPr>
    </w:lvl>
    <w:lvl w:ilvl="5" w:tplc="4D04F018">
      <w:start w:val="1"/>
      <w:numFmt w:val="bullet"/>
      <w:lvlText w:val="■"/>
      <w:lvlJc w:val="left"/>
      <w:pPr>
        <w:ind w:left="4320" w:hanging="360"/>
      </w:pPr>
    </w:lvl>
    <w:lvl w:ilvl="6" w:tplc="6CF21F5C">
      <w:start w:val="1"/>
      <w:numFmt w:val="bullet"/>
      <w:lvlText w:val="●"/>
      <w:lvlJc w:val="left"/>
      <w:pPr>
        <w:ind w:left="5040" w:hanging="360"/>
      </w:pPr>
    </w:lvl>
    <w:lvl w:ilvl="7" w:tplc="7B24AB7A">
      <w:start w:val="1"/>
      <w:numFmt w:val="bullet"/>
      <w:lvlText w:val="●"/>
      <w:lvlJc w:val="left"/>
      <w:pPr>
        <w:ind w:left="5760" w:hanging="360"/>
      </w:pPr>
    </w:lvl>
    <w:lvl w:ilvl="8" w:tplc="EAFA1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00E27"/>
    <w:multiLevelType w:val="hybridMultilevel"/>
    <w:tmpl w:val="2E281AA8"/>
    <w:lvl w:ilvl="0" w:tplc="F7BC91B6">
      <w:start w:val="1"/>
      <w:numFmt w:val="bullet"/>
      <w:lvlText w:val="•"/>
      <w:lvlJc w:val="left"/>
      <w:pPr>
        <w:ind w:left="540" w:hanging="270"/>
      </w:pPr>
    </w:lvl>
    <w:lvl w:ilvl="1" w:tplc="7AC449E4">
      <w:numFmt w:val="decimal"/>
      <w:lvlText w:val=""/>
      <w:lvlJc w:val="left"/>
    </w:lvl>
    <w:lvl w:ilvl="2" w:tplc="1C16F5CA">
      <w:numFmt w:val="decimal"/>
      <w:lvlText w:val=""/>
      <w:lvlJc w:val="left"/>
    </w:lvl>
    <w:lvl w:ilvl="3" w:tplc="E7EA9A9A">
      <w:numFmt w:val="decimal"/>
      <w:lvlText w:val=""/>
      <w:lvlJc w:val="left"/>
    </w:lvl>
    <w:lvl w:ilvl="4" w:tplc="7D524584">
      <w:numFmt w:val="decimal"/>
      <w:lvlText w:val=""/>
      <w:lvlJc w:val="left"/>
    </w:lvl>
    <w:lvl w:ilvl="5" w:tplc="3C305F6C">
      <w:numFmt w:val="decimal"/>
      <w:lvlText w:val=""/>
      <w:lvlJc w:val="left"/>
    </w:lvl>
    <w:lvl w:ilvl="6" w:tplc="38F0D2B0">
      <w:numFmt w:val="decimal"/>
      <w:lvlText w:val=""/>
      <w:lvlJc w:val="left"/>
    </w:lvl>
    <w:lvl w:ilvl="7" w:tplc="2EE8C5B6">
      <w:numFmt w:val="decimal"/>
      <w:lvlText w:val=""/>
      <w:lvlJc w:val="left"/>
    </w:lvl>
    <w:lvl w:ilvl="8" w:tplc="6A107898">
      <w:numFmt w:val="decimal"/>
      <w:lvlText w:val=""/>
      <w:lvlJc w:val="left"/>
    </w:lvl>
  </w:abstractNum>
  <w:num w:numId="1" w16cid:durableId="349067423">
    <w:abstractNumId w:val="0"/>
    <w:lvlOverride w:ilvl="0">
      <w:startOverride w:val="1"/>
    </w:lvlOverride>
  </w:num>
  <w:num w:numId="2" w16cid:durableId="12697797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4C8"/>
    <w:rsid w:val="00160964"/>
    <w:rsid w:val="002214C8"/>
    <w:rsid w:val="005C596F"/>
    <w:rsid w:val="00621974"/>
    <w:rsid w:val="007A10A5"/>
    <w:rsid w:val="007F1C28"/>
    <w:rsid w:val="00816AEB"/>
    <w:rsid w:val="008A5680"/>
    <w:rsid w:val="00903152"/>
    <w:rsid w:val="00935DC8"/>
    <w:rsid w:val="00996086"/>
    <w:rsid w:val="009C4836"/>
    <w:rsid w:val="009E0D48"/>
    <w:rsid w:val="00B134D8"/>
    <w:rsid w:val="00BA7E35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3A2BD1"/>
  <w15:docId w15:val="{D19C32CD-FC26-FA41-8414-E4956A81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F766E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1F293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1213</Words>
  <Characters>6652</Characters>
  <Application>Microsoft Office Word</Application>
  <DocSecurity>0</DocSecurity>
  <Lines>117</Lines>
  <Paragraphs>47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Premissas metodológicas da classificação de risco da MARIA</dc:title>
  <dc:creator>MARIA / GT INAEP</dc:creator>
  <dc:description>Nota técnica para apreciação estatística</dc:description>
  <cp:lastModifiedBy>Fabiano Tonaco Borges</cp:lastModifiedBy>
  <cp:revision>2</cp:revision>
  <dcterms:created xsi:type="dcterms:W3CDTF">2026-06-14T20:25:00Z</dcterms:created>
  <dcterms:modified xsi:type="dcterms:W3CDTF">2026-06-14T20:25:00Z</dcterms:modified>
</cp:coreProperties>
</file>