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7F90E" w14:textId="77777777" w:rsidR="00973582" w:rsidRPr="00F330B8" w:rsidRDefault="00000000" w:rsidP="00F330B8">
      <w:pPr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color w:val="6B7280"/>
          <w:sz w:val="24"/>
          <w:szCs w:val="24"/>
        </w:rPr>
        <w:t>Suplemento à Nota Técnica de Premissas</w:t>
      </w:r>
    </w:p>
    <w:p w14:paraId="2D3A66E1" w14:textId="77777777" w:rsidR="00973582" w:rsidRPr="00F330B8" w:rsidRDefault="00000000" w:rsidP="00F330B8">
      <w:pPr>
        <w:spacing w:after="4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b/>
          <w:bCs/>
          <w:color w:val="0F766E"/>
          <w:sz w:val="24"/>
          <w:szCs w:val="24"/>
        </w:rPr>
        <w:t xml:space="preserve">Mecanismos de salvaguarda automática na MARIA </w:t>
      </w:r>
    </w:p>
    <w:p w14:paraId="34898295" w14:textId="77777777" w:rsidR="00973582" w:rsidRPr="00F330B8" w:rsidRDefault="00000000" w:rsidP="00F330B8">
      <w:pPr>
        <w:spacing w:after="20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color w:val="6B7280"/>
          <w:sz w:val="24"/>
          <w:szCs w:val="24"/>
        </w:rPr>
        <w:t>MARIA Matriz de Avaliação de Risco em Inteligência Artificial · Versão preliminar · Junho de 2026</w:t>
      </w:r>
    </w:p>
    <w:p w14:paraId="1A63547D" w14:textId="77777777" w:rsidR="00973582" w:rsidRPr="00F330B8" w:rsidRDefault="00F330B8" w:rsidP="00F330B8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Este suplemento explica os três mecanismos de salvaguarda automática da MARIA, que ignoram a lógica de gradiente do instrumento e forçam a elevação ou recusa da classificação com base em uma condição categórica. O texto é técnico dirigido às e aos integrantes do Grupo de Trabalho, e pode ser lido isoladamente ou inserido como seção da Nota Técnica de Premissas. Ele amplia a versão anterior, que cobria apenas o gatilho do Eixo 3.b.</w:t>
      </w:r>
    </w:p>
    <w:p w14:paraId="6FAD0863" w14:textId="77777777" w:rsidR="00973582" w:rsidRPr="00F330B8" w:rsidRDefault="00000000" w:rsidP="00F330B8">
      <w:pPr>
        <w:pStyle w:val="Heading1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1. Por que a MARIA adota salvaguardas</w:t>
      </w:r>
    </w:p>
    <w:p w14:paraId="5C27BB05" w14:textId="77777777" w:rsidR="00973582" w:rsidRPr="00F330B8" w:rsidRDefault="00000000" w:rsidP="00F330B8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Em ambas as versões, a MARIA parte de uma lógica de gradiente: o risco do protocolo cresce de forma incremental, seja com o número de respostas de risco por eixo (Versão A), seja com a soma de pontos entre blocos (Versão B). Sobre essa lógica gradiente, a matriz superpõe três mecanismos que a interrompem: uma vez satisfeita determinada condição, a classificação é definida por critério deontológico</w:t>
      </w:r>
      <w:r w:rsidR="00F330B8" w:rsidRPr="00F330B8">
        <w:rPr>
          <w:rFonts w:ascii="Times New Roman" w:hAnsi="Times New Roman" w:cs="Times New Roman"/>
          <w:sz w:val="24"/>
          <w:szCs w:val="24"/>
        </w:rPr>
        <w:t>, e</w:t>
      </w:r>
      <w:r w:rsidRPr="00F330B8">
        <w:rPr>
          <w:rFonts w:ascii="Times New Roman" w:hAnsi="Times New Roman" w:cs="Times New Roman"/>
          <w:sz w:val="24"/>
          <w:szCs w:val="24"/>
        </w:rPr>
        <w:t xml:space="preserve"> não estatístico, sobrescrevendo o que a contagem ou a soma indicariam.</w:t>
      </w:r>
    </w:p>
    <w:p w14:paraId="7B3E8ECC" w14:textId="77777777" w:rsidR="00973582" w:rsidRPr="00F330B8" w:rsidRDefault="00000000" w:rsidP="00D022B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A razão é substantiva</w:t>
      </w:r>
      <w:r w:rsidR="00D022B7">
        <w:rPr>
          <w:rFonts w:ascii="Times New Roman" w:hAnsi="Times New Roman" w:cs="Times New Roman"/>
          <w:sz w:val="24"/>
          <w:szCs w:val="24"/>
        </w:rPr>
        <w:t>, porque c</w:t>
      </w:r>
      <w:r w:rsidRPr="00D022B7">
        <w:rPr>
          <w:rFonts w:ascii="Times New Roman" w:hAnsi="Times New Roman" w:cs="Times New Roman"/>
          <w:sz w:val="24"/>
          <w:szCs w:val="24"/>
        </w:rPr>
        <w:t>ertas condições éticas não se manifestam em gradiente: a sua simples presença já é decisiva.</w:t>
      </w:r>
      <w:r w:rsidRPr="00F330B8">
        <w:rPr>
          <w:rFonts w:ascii="Times New Roman" w:hAnsi="Times New Roman" w:cs="Times New Roman"/>
          <w:sz w:val="24"/>
          <w:szCs w:val="24"/>
        </w:rPr>
        <w:t xml:space="preserve"> </w:t>
      </w:r>
      <w:r w:rsidRPr="00D022B7">
        <w:rPr>
          <w:rFonts w:ascii="Times New Roman" w:hAnsi="Times New Roman" w:cs="Times New Roman"/>
          <w:sz w:val="24"/>
          <w:szCs w:val="24"/>
          <w:u w:val="single"/>
        </w:rPr>
        <w:t>Não existe, na prática, “violação moderada de confidencialidade”, “consentimento parcialmente válido” ou “dano irreversível de pequena monta”.</w:t>
      </w:r>
      <w:r w:rsidRPr="00F330B8">
        <w:rPr>
          <w:rFonts w:ascii="Times New Roman" w:hAnsi="Times New Roman" w:cs="Times New Roman"/>
          <w:sz w:val="24"/>
          <w:szCs w:val="24"/>
        </w:rPr>
        <w:t xml:space="preserve"> Tratar essas condições pela média ou pela soma as diluiria em escores agregados, justamente onde o instrumento precisa ser mais sensível. Os três gatilhos são, portanto, salvaguardas de precaução: assimetrias assumidas como tais, que preferem classificar a mais a deixar passar a menos.</w:t>
      </w:r>
    </w:p>
    <w:p w14:paraId="29F91C1A" w14:textId="77777777" w:rsidR="00973582" w:rsidRPr="00F330B8" w:rsidRDefault="00000000" w:rsidP="00D022B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 xml:space="preserve">Os três mecanismos compartilham a mesma estrutura </w:t>
      </w:r>
      <w:r w:rsidR="00F330B8" w:rsidRPr="00F330B8">
        <w:rPr>
          <w:rFonts w:ascii="Times New Roman" w:hAnsi="Times New Roman" w:cs="Times New Roman"/>
          <w:sz w:val="24"/>
          <w:szCs w:val="24"/>
        </w:rPr>
        <w:t>(</w:t>
      </w:r>
      <w:r w:rsidRPr="00F330B8">
        <w:rPr>
          <w:rFonts w:ascii="Times New Roman" w:hAnsi="Times New Roman" w:cs="Times New Roman"/>
          <w:sz w:val="24"/>
          <w:szCs w:val="24"/>
        </w:rPr>
        <w:t>uma condição categórica que, uma vez atendida, prevalece sobre o gradiente</w:t>
      </w:r>
      <w:r w:rsidR="00F330B8" w:rsidRPr="00F330B8">
        <w:rPr>
          <w:rFonts w:ascii="Times New Roman" w:hAnsi="Times New Roman" w:cs="Times New Roman"/>
          <w:sz w:val="24"/>
          <w:szCs w:val="24"/>
        </w:rPr>
        <w:t>),</w:t>
      </w:r>
      <w:r w:rsidRPr="00F330B8">
        <w:rPr>
          <w:rFonts w:ascii="Times New Roman" w:hAnsi="Times New Roman" w:cs="Times New Roman"/>
          <w:sz w:val="24"/>
          <w:szCs w:val="24"/>
        </w:rPr>
        <w:t xml:space="preserve"> mas atuam em pontos distintos do instrumento, conforme a Tabela 1.</w:t>
      </w:r>
    </w:p>
    <w:p w14:paraId="54B7CBD0" w14:textId="77777777" w:rsidR="00D022B7" w:rsidRDefault="00D022B7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A12D783" w14:textId="77777777" w:rsidR="00D022B7" w:rsidRDefault="00D022B7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FE2741D" w14:textId="77777777" w:rsidR="00D022B7" w:rsidRDefault="00D022B7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D8D46DE" w14:textId="77777777" w:rsidR="00D022B7" w:rsidRDefault="00D022B7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FE46D51" w14:textId="77777777" w:rsidR="00D022B7" w:rsidRDefault="00D022B7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09429EE3" w14:textId="77777777" w:rsidR="00D022B7" w:rsidRDefault="00D022B7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BD61180" w14:textId="77777777" w:rsidR="00973582" w:rsidRPr="00F330B8" w:rsidRDefault="00000000" w:rsidP="003E0989">
      <w:pPr>
        <w:pStyle w:val="Heading2"/>
        <w:spacing w:before="120" w:after="60" w:line="36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Tabela 1 Visão geral dos três gatilhos de salvaguarda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8"/>
        <w:gridCol w:w="1513"/>
        <w:gridCol w:w="2366"/>
        <w:gridCol w:w="2639"/>
      </w:tblGrid>
      <w:tr w:rsidR="00973582" w:rsidRPr="00F330B8" w14:paraId="391146A6" w14:textId="77777777" w:rsidTr="00D022B7">
        <w:trPr>
          <w:tblHeader/>
        </w:trPr>
        <w:tc>
          <w:tcPr>
            <w:tcW w:w="25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6A4DB1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Gatilho</w:t>
            </w:r>
          </w:p>
        </w:tc>
        <w:tc>
          <w:tcPr>
            <w:tcW w:w="1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335240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Versão</w:t>
            </w:r>
          </w:p>
        </w:tc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E717A6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Condição de disparo</w:t>
            </w:r>
          </w:p>
        </w:tc>
        <w:tc>
          <w:tcPr>
            <w:tcW w:w="26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831033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Efeito sobre a classificação</w:t>
            </w:r>
          </w:p>
        </w:tc>
      </w:tr>
      <w:tr w:rsidR="00973582" w:rsidRPr="00F330B8" w14:paraId="68AD9EAA" w14:textId="77777777" w:rsidTr="00D022B7">
        <w:tc>
          <w:tcPr>
            <w:tcW w:w="25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D02B24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1. Regra especial do Eixo 3.b (Salvaguarda da Res. 738/2024)</w:t>
            </w:r>
          </w:p>
        </w:tc>
        <w:tc>
          <w:tcPr>
            <w:tcW w:w="1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13DFF0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A (qualitativa)</w:t>
            </w:r>
          </w:p>
        </w:tc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82EE8E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1 ou mais respostas de risco no Eixo 3.b</w:t>
            </w:r>
          </w:p>
        </w:tc>
        <w:tc>
          <w:tcPr>
            <w:tcW w:w="26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06746F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Eixo salta o Nível II (1–2 → III; 3+ → IV); via regra do máximo, eleva o nível final</w:t>
            </w:r>
          </w:p>
        </w:tc>
      </w:tr>
      <w:tr w:rsidR="00973582" w:rsidRPr="00F330B8" w14:paraId="2646D9C3" w14:textId="77777777" w:rsidTr="00D022B7">
        <w:tc>
          <w:tcPr>
            <w:tcW w:w="25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ACBF84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2. Cláusula de Prevalência Ética (Salvaguarda Decisória)</w:t>
            </w:r>
          </w:p>
        </w:tc>
        <w:tc>
          <w:tcPr>
            <w:tcW w:w="1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3C0A09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B (quantitativa)</w:t>
            </w:r>
          </w:p>
        </w:tc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59E85E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P4.1 ou P4.2 = “Sim”</w:t>
            </w:r>
          </w:p>
        </w:tc>
        <w:tc>
          <w:tcPr>
            <w:tcW w:w="26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34239B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Força Nível IV, sobrescrevendo a soma total dos blocos</w:t>
            </w:r>
          </w:p>
        </w:tc>
      </w:tr>
      <w:tr w:rsidR="00973582" w:rsidRPr="00F330B8" w14:paraId="29D1C5D0" w14:textId="77777777" w:rsidTr="00D022B7">
        <w:tc>
          <w:tcPr>
            <w:tcW w:w="25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1CC943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3. Questões eliminatórias (Salvaguarda de Inavaliabilidade)</w:t>
            </w:r>
          </w:p>
        </w:tc>
        <w:tc>
          <w:tcPr>
            <w:tcW w:w="1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61C463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A e B</w:t>
            </w:r>
          </w:p>
        </w:tc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B7FAE2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Acionamento de questão eliminatória</w:t>
            </w:r>
          </w:p>
        </w:tc>
        <w:tc>
          <w:tcPr>
            <w:tcW w:w="26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207FBF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Classifica o protocolo como “não avaliável pela MARIA”</w:t>
            </w:r>
          </w:p>
        </w:tc>
      </w:tr>
    </w:tbl>
    <w:p w14:paraId="6F9E86F7" w14:textId="77777777" w:rsidR="00120BC4" w:rsidRDefault="00000000">
      <w:pPr>
        <w:spacing w:after="120"/>
        <w:jc w:val="both"/>
      </w:pPr>
      <w:r>
        <w:rPr>
          <w:rFonts w:ascii="Times New Roman" w:hAnsi="Times New Roman"/>
          <w:i/>
          <w:sz w:val="24"/>
        </w:rPr>
        <w:t>As seções seguintes detalham cada gatilho. Os dois primeiros recebem tratamento completo: o que faz, por que faz, como interage com a matriz, cenários e crítica honesta. O terceiro, por ser uma saída categorial distinta, é apresentado em parágrafo.</w:t>
      </w:r>
    </w:p>
    <w:p w14:paraId="2FAC99BB" w14:textId="77777777" w:rsidR="00D022B7" w:rsidRDefault="00D022B7" w:rsidP="00F330B8">
      <w:pPr>
        <w:pStyle w:val="Heading1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0B927946" w14:textId="77777777" w:rsidR="00973582" w:rsidRPr="00F330B8" w:rsidRDefault="00000000" w:rsidP="00F330B8">
      <w:pPr>
        <w:pStyle w:val="Heading1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2. Gatilho 1 Regra especial do Eixo 3.b (Res. CNS n.º 738/2024), Versão A</w:t>
      </w:r>
    </w:p>
    <w:p w14:paraId="0D4319D8" w14:textId="77777777" w:rsidR="00973582" w:rsidRPr="00F330B8" w:rsidRDefault="00000000" w:rsidP="00D022B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O Eixo 3.b é condicionado à aplicação da Resolução CNS n.º 738/2024 sobre bancos de dados de pesquisa. Sua regra de consolidação difere da utilizada nos demais eixos e, por isso, merece explicação substantiva.</w:t>
      </w:r>
    </w:p>
    <w:p w14:paraId="62433BC6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2.1 O que a regra estabelece</w:t>
      </w:r>
    </w:p>
    <w:p w14:paraId="4858FFA2" w14:textId="77777777" w:rsidR="00973582" w:rsidRPr="00F330B8" w:rsidRDefault="00000000" w:rsidP="00D022B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A regra do Eixo 3.b opera segundo a Tabela 2. A comparação com a regra padrão dos demais eixos (Eixos 1, 2, 3, 4 e 5) está na Tabela 3.</w:t>
      </w:r>
    </w:p>
    <w:p w14:paraId="1953C87D" w14:textId="77777777" w:rsidR="00973582" w:rsidRPr="00F330B8" w:rsidRDefault="00000000" w:rsidP="00D022B7">
      <w:pPr>
        <w:pStyle w:val="Heading2"/>
        <w:spacing w:before="120" w:after="60" w:line="36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Tabela 2 Regra do Eixo 3.b (Res. CNS n.º 738/2024)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973582" w:rsidRPr="00F330B8" w14:paraId="2FA96309" w14:textId="77777777">
        <w:trPr>
          <w:tblHeader/>
        </w:trPr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3F26B2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Quantidade de respostas de risco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BC58DA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Nível atribuído ao eixo</w:t>
            </w:r>
          </w:p>
        </w:tc>
      </w:tr>
      <w:tr w:rsidR="00973582" w:rsidRPr="00F330B8" w14:paraId="3025FE6B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4920D2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7CD5E1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</w:tr>
      <w:tr w:rsidR="00973582" w:rsidRPr="00F330B8" w14:paraId="55841887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9E1501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 ou 2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98A1CE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III (Nível II é deliberadamente saltado)</w:t>
            </w:r>
          </w:p>
        </w:tc>
      </w:tr>
      <w:tr w:rsidR="00973582" w:rsidRPr="00F330B8" w14:paraId="2252911B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ADD1D4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3 ou mais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57833C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IV</w:t>
            </w:r>
          </w:p>
        </w:tc>
      </w:tr>
    </w:tbl>
    <w:p w14:paraId="54957979" w14:textId="77777777" w:rsidR="00555D69" w:rsidRDefault="00555D69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0561E76F" w14:textId="77777777" w:rsidR="00973582" w:rsidRPr="00F330B8" w:rsidRDefault="00000000" w:rsidP="00555D69">
      <w:pPr>
        <w:pStyle w:val="Heading2"/>
        <w:spacing w:before="120" w:after="60" w:line="36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Tabela 3 Regra padrão dos demais eixos (1, 2, 3, 4, 5)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973582" w:rsidRPr="00F330B8" w14:paraId="6117263D" w14:textId="77777777">
        <w:trPr>
          <w:tblHeader/>
        </w:trPr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F843F3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Quantidade de respostas de risco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5384B7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Nível atribuído ao eixo</w:t>
            </w:r>
          </w:p>
        </w:tc>
      </w:tr>
      <w:tr w:rsidR="00973582" w:rsidRPr="00F330B8" w14:paraId="56E378DC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22D01F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97068F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</w:tr>
      <w:tr w:rsidR="00973582" w:rsidRPr="00F330B8" w14:paraId="515B30DC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A072C0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1 ou 2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5F1FFD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II</w:t>
            </w:r>
          </w:p>
        </w:tc>
      </w:tr>
      <w:tr w:rsidR="00973582" w:rsidRPr="00F330B8" w14:paraId="4648D932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6E3CD1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3 ou 4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1FF00C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III</w:t>
            </w:r>
          </w:p>
        </w:tc>
      </w:tr>
      <w:tr w:rsidR="00973582" w:rsidRPr="00F330B8" w14:paraId="10E6CAC9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C12F06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5 ou mais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35ED8B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IV</w:t>
            </w:r>
          </w:p>
        </w:tc>
      </w:tr>
    </w:tbl>
    <w:p w14:paraId="00FE39F8" w14:textId="77777777" w:rsidR="00555D69" w:rsidRDefault="00555D69" w:rsidP="00555D69">
      <w:pPr>
        <w:spacing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402945E" w14:textId="77777777" w:rsidR="00973582" w:rsidRPr="00F330B8" w:rsidRDefault="00000000" w:rsidP="00555D69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A diferença visível: no Eixo 3.b o Nível II é deliberadamente saltado. Uma única resposta de risco já leva o eixo diretamente ao Nível III.</w:t>
      </w:r>
    </w:p>
    <w:p w14:paraId="6202B99B" w14:textId="77777777" w:rsidR="00555D69" w:rsidRDefault="00555D69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D976463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2.2 Por que essa diferença</w:t>
      </w:r>
      <w:r w:rsidR="00555D69">
        <w:rPr>
          <w:rFonts w:ascii="Times New Roman" w:hAnsi="Times New Roman" w:cs="Times New Roman"/>
          <w:sz w:val="24"/>
          <w:szCs w:val="24"/>
        </w:rPr>
        <w:t>:</w:t>
      </w:r>
      <w:r w:rsidRPr="00F330B8">
        <w:rPr>
          <w:rFonts w:ascii="Times New Roman" w:hAnsi="Times New Roman" w:cs="Times New Roman"/>
          <w:sz w:val="24"/>
          <w:szCs w:val="24"/>
        </w:rPr>
        <w:t xml:space="preserve"> o argumento substantivo</w:t>
      </w:r>
    </w:p>
    <w:p w14:paraId="53F2E981" w14:textId="77777777" w:rsidR="00973582" w:rsidRPr="00F330B8" w:rsidRDefault="00000000" w:rsidP="00555D69">
      <w:pPr>
        <w:spacing w:after="120" w:line="360" w:lineRule="auto"/>
        <w:ind w:firstLine="54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A Resolução CNS n.º 738/2024 disciplina a pesquisa que utiliza bancos de dados de pesquisa: reuso de dados clínicos, prontuários, registros, coortes e biobancos. É uma camada normativa mais prescritiva do que as resoluções gerais (466/2012, 510/2016) porque os riscos têm natureza qualitativamente distinta:</w:t>
      </w:r>
    </w:p>
    <w:p w14:paraId="28F4D4E7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Privacidade e confidencialidade de dados identificáveis ou potencialmente re-identificáveis.</w:t>
      </w:r>
    </w:p>
    <w:p w14:paraId="53986FFE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Reuso secundário sem consentimento específico (ou com dispensa que precisa ser bem justificada).</w:t>
      </w:r>
    </w:p>
    <w:p w14:paraId="1A0D4775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Discriminação algorítmica futura a partir de dados clínicos sensíveis.</w:t>
      </w:r>
    </w:p>
    <w:p w14:paraId="0A7B015D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Compartilhamento internacional e perda de governança nacional sobre os dados.</w:t>
      </w:r>
    </w:p>
    <w:p w14:paraId="2BF0068E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Persistência temporal: diferente de um experimento que termina, um banco permanece e gera riscos cumulativos ao longo do tempo.</w:t>
      </w:r>
    </w:p>
    <w:p w14:paraId="32385126" w14:textId="77777777" w:rsidR="00973582" w:rsidRPr="00F330B8" w:rsidRDefault="00000000" w:rsidP="00555D69">
      <w:pPr>
        <w:spacing w:after="120" w:line="360" w:lineRule="auto"/>
        <w:ind w:firstLine="54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Esses riscos têm uma característica que justifica a regra excepcional: eles não se manifestam em gradiente. Ou o banco está sendo manejado dentro dos requisitos da Res. 738 (zero problema, risco baixo), ou há um problema concreto</w:t>
      </w:r>
      <w:r w:rsidR="00C30793">
        <w:rPr>
          <w:rFonts w:ascii="Times New Roman" w:hAnsi="Times New Roman" w:cs="Times New Roman"/>
          <w:sz w:val="24"/>
          <w:szCs w:val="24"/>
        </w:rPr>
        <w:t>;</w:t>
      </w:r>
      <w:r w:rsidRPr="00F330B8">
        <w:rPr>
          <w:rFonts w:ascii="Times New Roman" w:hAnsi="Times New Roman" w:cs="Times New Roman"/>
          <w:sz w:val="24"/>
          <w:szCs w:val="24"/>
        </w:rPr>
        <w:t xml:space="preserve"> e quando há, o risco já é elevado, </w:t>
      </w:r>
      <w:r w:rsidRPr="00F330B8">
        <w:rPr>
          <w:rFonts w:ascii="Times New Roman" w:hAnsi="Times New Roman" w:cs="Times New Roman"/>
          <w:sz w:val="24"/>
          <w:szCs w:val="24"/>
        </w:rPr>
        <w:lastRenderedPageBreak/>
        <w:t>porque os danos potenciais (vazamento, re-identificação, uso secundário não consentido) não admitem categoria moderada. Não existe, na prática, “violação moderada de confidencialidade” ou “consentimento parcialmente válido”. A categoria intermediária (“moderado”) não faz sentido analítico para esse domínio.</w:t>
      </w:r>
    </w:p>
    <w:p w14:paraId="358DF74C" w14:textId="77777777" w:rsidR="00FB7BFF" w:rsidRDefault="00FB7BFF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254E5F1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2.3 Como a regra interage com a consolidação por máximo</w:t>
      </w:r>
    </w:p>
    <w:p w14:paraId="2E062565" w14:textId="77777777" w:rsidR="00973582" w:rsidRPr="00F330B8" w:rsidRDefault="00000000" w:rsidP="00FB7BFF">
      <w:pPr>
        <w:spacing w:after="120" w:line="360" w:lineRule="auto"/>
        <w:ind w:firstLine="54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A Versão A consolida o nível final do protocolo pela regra do máximo: o nível final é o mais alto observado entre todos os eixos aplicáveis. Em razão dessa interação, a regra especial do Eixo 3.b funciona, na prática, como um disparador de elevação:</w:t>
      </w:r>
    </w:p>
    <w:p w14:paraId="3CD55B2C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Se o Eixo 3.b retorna Nível I, ele não eleva nada</w:t>
      </w:r>
      <w:r w:rsidR="00C30793">
        <w:rPr>
          <w:rFonts w:ascii="Times New Roman" w:hAnsi="Times New Roman" w:cs="Times New Roman"/>
          <w:sz w:val="24"/>
          <w:szCs w:val="24"/>
        </w:rPr>
        <w:t>.</w:t>
      </w:r>
      <w:r w:rsidRPr="00F330B8">
        <w:rPr>
          <w:rFonts w:ascii="Times New Roman" w:hAnsi="Times New Roman" w:cs="Times New Roman"/>
          <w:sz w:val="24"/>
          <w:szCs w:val="24"/>
        </w:rPr>
        <w:t xml:space="preserve"> </w:t>
      </w:r>
      <w:r w:rsidR="00C30793">
        <w:rPr>
          <w:rFonts w:ascii="Times New Roman" w:hAnsi="Times New Roman" w:cs="Times New Roman"/>
          <w:sz w:val="24"/>
          <w:szCs w:val="24"/>
        </w:rPr>
        <w:t>O</w:t>
      </w:r>
      <w:r w:rsidRPr="00F330B8">
        <w:rPr>
          <w:rFonts w:ascii="Times New Roman" w:hAnsi="Times New Roman" w:cs="Times New Roman"/>
          <w:sz w:val="24"/>
          <w:szCs w:val="24"/>
        </w:rPr>
        <w:t>s demais eixos definem o nível final normalmente.</w:t>
      </w:r>
    </w:p>
    <w:p w14:paraId="60178BC3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Se o Eixo 3.b retorna Nível III por uma única resposta de risco, o protocolo inteiro é classificado em pelo menos Nível III, mesmo que os outros cinco eixos estejam no Nível I. Há, nesse caso, salto de dois níveis (I → III) acionado por um único problema com banco de dados.</w:t>
      </w:r>
    </w:p>
    <w:p w14:paraId="02599D72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Se o Eixo 3.b retorna Nível IV (3 ou mais respostas de risco), o protocolo é automaticamente classificado em Nível IV.</w:t>
      </w:r>
    </w:p>
    <w:p w14:paraId="42F9DD94" w14:textId="77777777" w:rsidR="00973582" w:rsidRPr="00F330B8" w:rsidRDefault="00000000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Em outras palavras: qualquer problema concreto no Eixo 3.b carrega o protocolo para revisão de alto risco, sem amortecimento. É amplificação direta, não suavização gradual.</w:t>
      </w:r>
    </w:p>
    <w:p w14:paraId="06B65555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2.4 Três cenários para tornar a regra concreta</w:t>
      </w:r>
    </w:p>
    <w:p w14:paraId="1BF44AD7" w14:textId="77777777" w:rsidR="00973582" w:rsidRPr="00F330B8" w:rsidRDefault="00000000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b/>
          <w:bCs/>
          <w:sz w:val="24"/>
          <w:szCs w:val="24"/>
        </w:rPr>
        <w:t>Cenário A</w:t>
      </w:r>
      <w:r w:rsidR="00C30793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F330B8">
        <w:rPr>
          <w:rFonts w:ascii="Times New Roman" w:hAnsi="Times New Roman" w:cs="Times New Roman"/>
          <w:b/>
          <w:bCs/>
          <w:sz w:val="24"/>
          <w:szCs w:val="24"/>
        </w:rPr>
        <w:t xml:space="preserve"> protocolo usa banco, em conformidade com a Res. 738.</w:t>
      </w:r>
    </w:p>
    <w:p w14:paraId="05E7CCFC" w14:textId="77777777" w:rsidR="00973582" w:rsidRPr="00F330B8" w:rsidRDefault="00000000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Eixo 3.b: 0 respostas de risco → Nível I. O eixo não eleva a classificação. Os outros cinco eixos definem o nível final segundo a regra padrão.</w:t>
      </w:r>
    </w:p>
    <w:p w14:paraId="28AF9FD6" w14:textId="77777777" w:rsidR="00973582" w:rsidRPr="00F330B8" w:rsidRDefault="00000000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b/>
          <w:bCs/>
          <w:sz w:val="24"/>
          <w:szCs w:val="24"/>
        </w:rPr>
        <w:t>Cenário B</w:t>
      </w:r>
      <w:r w:rsidR="00C30793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F330B8">
        <w:rPr>
          <w:rFonts w:ascii="Times New Roman" w:hAnsi="Times New Roman" w:cs="Times New Roman"/>
          <w:b/>
          <w:bCs/>
          <w:sz w:val="24"/>
          <w:szCs w:val="24"/>
        </w:rPr>
        <w:t xml:space="preserve"> protocolo usa banco, com 1 problema concreto.</w:t>
      </w:r>
    </w:p>
    <w:p w14:paraId="7493A8BC" w14:textId="77777777" w:rsidR="00973582" w:rsidRPr="00F330B8" w:rsidRDefault="00000000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Exemplo: dispensa de consentimento adotada sem justificativa adequada na perspectiva da Res. 738. Eixo 3.b: 1 resposta de risco → Nível III. Pela regra do máximo, o protocolo é classificado em pelo menos Nível III, ainda que os outros cinco eixos sejam todos Nível I. Um único problema no Eixo 3.b promove o protocolo dois níveis (do I direto ao III).</w:t>
      </w:r>
    </w:p>
    <w:p w14:paraId="5FBD25E3" w14:textId="77777777" w:rsidR="00973582" w:rsidRPr="00F330B8" w:rsidRDefault="00000000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b/>
          <w:bCs/>
          <w:sz w:val="24"/>
          <w:szCs w:val="24"/>
        </w:rPr>
        <w:t>Cenário C</w:t>
      </w:r>
      <w:r w:rsidR="00C30793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F330B8">
        <w:rPr>
          <w:rFonts w:ascii="Times New Roman" w:hAnsi="Times New Roman" w:cs="Times New Roman"/>
          <w:b/>
          <w:bCs/>
          <w:sz w:val="24"/>
          <w:szCs w:val="24"/>
        </w:rPr>
        <w:t xml:space="preserve"> protocolo usa banco, com 3 ou mais problemas.</w:t>
      </w:r>
    </w:p>
    <w:p w14:paraId="76635D63" w14:textId="77777777" w:rsidR="00973582" w:rsidRPr="00F330B8" w:rsidRDefault="00000000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Eixo 3.b: 3+ respostas de risco → Nível IV. Protocolo automaticamente em Nível IV (crítico), independentemente dos demais eixos.</w:t>
      </w:r>
    </w:p>
    <w:p w14:paraId="5D029CB1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2.5 Crítica</w:t>
      </w:r>
      <w:r w:rsidR="00A316F7">
        <w:rPr>
          <w:rFonts w:ascii="Times New Roman" w:hAnsi="Times New Roman" w:cs="Times New Roman"/>
          <w:sz w:val="24"/>
          <w:szCs w:val="24"/>
        </w:rPr>
        <w:t>:</w:t>
      </w:r>
      <w:r w:rsidRPr="00F330B8">
        <w:rPr>
          <w:rFonts w:ascii="Times New Roman" w:hAnsi="Times New Roman" w:cs="Times New Roman"/>
          <w:sz w:val="24"/>
          <w:szCs w:val="24"/>
        </w:rPr>
        <w:t xml:space="preserve"> o que um leitor técnico pode levantar</w:t>
      </w:r>
    </w:p>
    <w:p w14:paraId="48422A8F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lastRenderedPageBreak/>
        <w:t>“Por que 1 problema já manda para o Nível III? Não poderia permanecer em Nível II ou borderline?” Poderia, sim. A escolha de pular o Nível II foi deontológica e conservadora, não estatística. Prefere-se classificar a mais a deixar passar a menos.</w:t>
      </w:r>
    </w:p>
    <w:p w14:paraId="2D679E3F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“Isso vai gerar sobre-classificação?” Provavelmente sim, em algum percentual. A Frente 2 do Apêndice F (distribuição empírica nos níveis) é justamente o instrumento desenhado para detectar se a elevação está sendo desproporcional na casuística real dos CEPs.</w:t>
      </w:r>
    </w:p>
    <w:p w14:paraId="7B2E98BF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“Por que a elevação não é proporcional ao risco material observado?” Porque a MARIA, neste estágio, não dispõe de evidência empírica que permita calibrar de forma proporcional. Na ausência dessa evidência, preferiu-se errar para o lado da maior cautela</w:t>
      </w:r>
      <w:r w:rsidR="00C30793">
        <w:rPr>
          <w:rFonts w:ascii="Times New Roman" w:hAnsi="Times New Roman" w:cs="Times New Roman"/>
          <w:sz w:val="24"/>
          <w:szCs w:val="24"/>
        </w:rPr>
        <w:t xml:space="preserve">, </w:t>
      </w:r>
      <w:r w:rsidRPr="00F330B8">
        <w:rPr>
          <w:rFonts w:ascii="Times New Roman" w:hAnsi="Times New Roman" w:cs="Times New Roman"/>
          <w:sz w:val="24"/>
          <w:szCs w:val="24"/>
        </w:rPr>
        <w:t>postura coerente com o restante das decisões metodológicas da matriz.</w:t>
      </w:r>
    </w:p>
    <w:p w14:paraId="45A6CAA0" w14:textId="77777777" w:rsidR="00973582" w:rsidRPr="00F330B8" w:rsidRDefault="00000000" w:rsidP="00F330B8">
      <w:pPr>
        <w:pStyle w:val="Heading1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3. Gatilho 2 Cláusula de Prevalência Ética, Versão B</w:t>
      </w:r>
    </w:p>
    <w:p w14:paraId="2AB843E7" w14:textId="77777777" w:rsidR="00973582" w:rsidRPr="00F330B8" w:rsidRDefault="00000000" w:rsidP="00C30793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A Versão B é quantitativa: a pontuação total do protocolo é a soma das pontuações de sete blocos (modelo aditivo), e os pontos de corte definem o nível final. A Cláusula de Prevalência Ética é a exceção a essa aritmética.</w:t>
      </w:r>
    </w:p>
    <w:p w14:paraId="7A11BE58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3.1 O que a cláusula estabelece</w:t>
      </w:r>
    </w:p>
    <w:p w14:paraId="15C03679" w14:textId="77777777" w:rsidR="00973582" w:rsidRPr="00F330B8" w:rsidRDefault="00000000" w:rsidP="00C30793">
      <w:pPr>
        <w:spacing w:after="120" w:line="360" w:lineRule="auto"/>
        <w:ind w:firstLine="54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A cláusula opera sobre duas questões do Bloco 4 (Decisão)</w:t>
      </w:r>
      <w:r w:rsidR="00C30793">
        <w:rPr>
          <w:rFonts w:ascii="Times New Roman" w:hAnsi="Times New Roman" w:cs="Times New Roman"/>
          <w:sz w:val="24"/>
          <w:szCs w:val="24"/>
        </w:rPr>
        <w:t>,</w:t>
      </w:r>
      <w:r w:rsidRPr="00F330B8">
        <w:rPr>
          <w:rFonts w:ascii="Times New Roman" w:hAnsi="Times New Roman" w:cs="Times New Roman"/>
          <w:sz w:val="24"/>
          <w:szCs w:val="24"/>
        </w:rPr>
        <w:t xml:space="preserve"> o bloco que avalia o grau de autonomia decisória do sistema e a consequência de um erro, as perguntas mais críticas da matriz:</w:t>
      </w:r>
    </w:p>
    <w:p w14:paraId="09F68738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P4.1 — “O sistema é o único determinante de uma decisão que afeta diretamente o participante — sem revisão humana obrigatória?” (resposta de risco: Sim)</w:t>
      </w:r>
    </w:p>
    <w:p w14:paraId="51AE18DA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P4.2 — “Em caso de erro do sistema, o dano ao participante seria irreversível ou de difícil reparação?” (resposta de risco: Sim)</w:t>
      </w:r>
    </w:p>
    <w:p w14:paraId="1EFC552A" w14:textId="77777777" w:rsidR="00C30793" w:rsidRDefault="00000000" w:rsidP="00A316F7">
      <w:pPr>
        <w:spacing w:after="120" w:line="360" w:lineRule="auto"/>
        <w:ind w:firstLine="54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Se P4.1 ou P4.2 for marcada como “Sim”, aciona-se o princípio da precaução e o protocolo é elevado ao Nível IV, independentemente da pontuação total. A cláusula sobrescreve a soma: ainda que os sete blocos somados apontassem Nível I ou II, a marcação afirmativa em uma dessas questões leva o protocolo ao patamar crítico.</w:t>
      </w:r>
    </w:p>
    <w:p w14:paraId="515BEA4C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3.2 Por que a cláusula existe</w:t>
      </w:r>
    </w:p>
    <w:p w14:paraId="4E384EBC" w14:textId="77777777" w:rsidR="00973582" w:rsidRPr="00F330B8" w:rsidRDefault="00000000" w:rsidP="00C30793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 xml:space="preserve">As duas condições capturadas por P4.1 e P4.2 </w:t>
      </w:r>
      <w:r w:rsidR="00C30793">
        <w:rPr>
          <w:rFonts w:ascii="Times New Roman" w:hAnsi="Times New Roman" w:cs="Times New Roman"/>
          <w:sz w:val="24"/>
          <w:szCs w:val="24"/>
        </w:rPr>
        <w:t>(</w:t>
      </w:r>
      <w:r w:rsidRPr="00F330B8">
        <w:rPr>
          <w:rFonts w:ascii="Times New Roman" w:hAnsi="Times New Roman" w:cs="Times New Roman"/>
          <w:sz w:val="24"/>
          <w:szCs w:val="24"/>
        </w:rPr>
        <w:t>ausência de revisão humana sobre uma decisão que afeta diretamente o participante, e potencial de dano irreversível</w:t>
      </w:r>
      <w:r w:rsidR="00C30793">
        <w:rPr>
          <w:rFonts w:ascii="Times New Roman" w:hAnsi="Times New Roman" w:cs="Times New Roman"/>
          <w:sz w:val="24"/>
          <w:szCs w:val="24"/>
        </w:rPr>
        <w:t>)</w:t>
      </w:r>
      <w:r w:rsidRPr="00F330B8">
        <w:rPr>
          <w:rFonts w:ascii="Times New Roman" w:hAnsi="Times New Roman" w:cs="Times New Roman"/>
          <w:sz w:val="24"/>
          <w:szCs w:val="24"/>
        </w:rPr>
        <w:t xml:space="preserve"> são, no entendimento que orientou a elaboração da matriz, eticamente inegociáveis. São exatamente o tipo de condição que um modelo puramente aditivo trataria mal: um protocolo poderia </w:t>
      </w:r>
      <w:r w:rsidRPr="00F330B8">
        <w:rPr>
          <w:rFonts w:ascii="Times New Roman" w:hAnsi="Times New Roman" w:cs="Times New Roman"/>
          <w:sz w:val="24"/>
          <w:szCs w:val="24"/>
        </w:rPr>
        <w:lastRenderedPageBreak/>
        <w:t>acumular pontuação baixa nos demais blocos e, ainda assim, embutir um risco decisional grave que ficaria “diluído” no escore total. A cláusula impede essa diluição, tornando a presença da condição decisiva por si só.</w:t>
      </w:r>
    </w:p>
    <w:p w14:paraId="61315611" w14:textId="77777777" w:rsidR="00973582" w:rsidRPr="00F330B8" w:rsidRDefault="00000000" w:rsidP="00C30793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Trata-se, portanto, de uma quebra deliberada da aditividade — uma regra deontológica embutida na escala quantitativa. Ela afirma que há riscos cuja gravidade não é compensável por boas pontuações em outras dimensões.</w:t>
      </w:r>
    </w:p>
    <w:p w14:paraId="3CBFA6DD" w14:textId="77777777" w:rsidR="00C30793" w:rsidRDefault="00C30793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F713A37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3.3 Como a cláusula interage com o restante da Versão B</w:t>
      </w:r>
    </w:p>
    <w:p w14:paraId="55D2FFDC" w14:textId="77777777" w:rsidR="00973582" w:rsidRPr="00F330B8" w:rsidRDefault="00000000" w:rsidP="00C30793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Vale contrastá-la com o Bloco 7 (Mitigação), o outro mecanismo que altera o escore. O Bloco 7 é bidirecional e opera dentro da soma: subtrai pontos quando há mitigação e os preserva quando não há, com piso de zero</w:t>
      </w:r>
      <w:r w:rsidR="00C30793">
        <w:rPr>
          <w:rFonts w:ascii="Times New Roman" w:hAnsi="Times New Roman" w:cs="Times New Roman"/>
          <w:sz w:val="24"/>
          <w:szCs w:val="24"/>
        </w:rPr>
        <w:t>,</w:t>
      </w:r>
      <w:r w:rsidRPr="00F330B8">
        <w:rPr>
          <w:rFonts w:ascii="Times New Roman" w:hAnsi="Times New Roman" w:cs="Times New Roman"/>
          <w:sz w:val="24"/>
          <w:szCs w:val="24"/>
        </w:rPr>
        <w:t xml:space="preserve"> isto é, move o protocolo ao longo do gradiente, mas nunca o retira dele. A Cláusula de Prevalência Ética faz o oposto: não participa da soma, e sim a sobrescreve. Por consequência, nenhuma mitigação do Bloco 7 reduz um protocolo abaixo do Nível IV uma vez acionada a cláusula</w:t>
      </w:r>
      <w:r w:rsidR="00C30793">
        <w:rPr>
          <w:rFonts w:ascii="Times New Roman" w:hAnsi="Times New Roman" w:cs="Times New Roman"/>
          <w:sz w:val="24"/>
          <w:szCs w:val="24"/>
        </w:rPr>
        <w:t>,</w:t>
      </w:r>
      <w:r w:rsidRPr="00F330B8">
        <w:rPr>
          <w:rFonts w:ascii="Times New Roman" w:hAnsi="Times New Roman" w:cs="Times New Roman"/>
          <w:sz w:val="24"/>
          <w:szCs w:val="24"/>
        </w:rPr>
        <w:t xml:space="preserve"> a salvaguarda ética prevalece sobre o crédito de mitigação.</w:t>
      </w:r>
    </w:p>
    <w:p w14:paraId="1AAE7763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3.4 Três cenários para tornar a cláusula concreta</w:t>
      </w:r>
    </w:p>
    <w:p w14:paraId="3226C9FD" w14:textId="77777777" w:rsidR="00C30793" w:rsidRDefault="00C30793" w:rsidP="00F330B8">
      <w:pPr>
        <w:pStyle w:val="Heading2"/>
        <w:spacing w:before="120" w:after="6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51FAB28" w14:textId="77777777" w:rsidR="00973582" w:rsidRPr="00F330B8" w:rsidRDefault="00000000" w:rsidP="00C30793">
      <w:pPr>
        <w:pStyle w:val="Heading2"/>
        <w:spacing w:before="120" w:after="60" w:line="36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Tabela 4 — Efeito da Cláusula de Prevalência Ética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500"/>
        <w:gridCol w:w="2826"/>
        <w:gridCol w:w="2400"/>
      </w:tblGrid>
      <w:tr w:rsidR="00973582" w:rsidRPr="00F330B8" w14:paraId="3FEC92B6" w14:textId="77777777">
        <w:trPr>
          <w:tblHeader/>
        </w:trPr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F5D281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9988D0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P4.1 / P4.2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226741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Soma dos blocos indicaria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E024B1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Classificação final</w:t>
            </w:r>
          </w:p>
        </w:tc>
      </w:tr>
      <w:tr w:rsidR="00973582" w:rsidRPr="00F330B8" w14:paraId="1646F60E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C525FB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A — sem condição crítica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4F1488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Não / Não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D3731B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Conforme os pontos de corte (ex.: Nível II)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F3BA82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Definida pela soma (Nível II)</w:t>
            </w:r>
          </w:p>
        </w:tc>
      </w:tr>
      <w:tr w:rsidR="00973582" w:rsidRPr="00F330B8" w14:paraId="03C37867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5A2F0F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B — escore baixo, mas condição crítica presente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CC203A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Sim (uma delas)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FD1960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Nível I ou II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C35C95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Nível IV (cláusula sobrescreve a soma)</w:t>
            </w:r>
          </w:p>
        </w:tc>
      </w:tr>
      <w:tr w:rsidR="00973582" w:rsidRPr="00F330B8" w14:paraId="5867D359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EECAB3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C — escore já alto e condição presente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E33993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Sim (uma delas)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24A2AD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Nível III ou IV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81C4CD" w14:textId="77777777" w:rsidR="00973582" w:rsidRPr="00F330B8" w:rsidRDefault="00000000" w:rsidP="00F330B8">
            <w:pPr>
              <w:spacing w:line="36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330B8">
              <w:rPr>
                <w:rFonts w:ascii="Times New Roman" w:hAnsi="Times New Roman" w:cs="Times New Roman"/>
                <w:sz w:val="24"/>
                <w:szCs w:val="24"/>
              </w:rPr>
              <w:t>Nível IV (sem duplo efeito)</w:t>
            </w:r>
          </w:p>
        </w:tc>
      </w:tr>
    </w:tbl>
    <w:p w14:paraId="2223E63C" w14:textId="77777777" w:rsidR="00A316F7" w:rsidRDefault="00A316F7" w:rsidP="00F330B8">
      <w:pPr>
        <w:spacing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6444AA9" w14:textId="77777777" w:rsidR="00973582" w:rsidRPr="00F330B8" w:rsidRDefault="00000000" w:rsidP="00A316F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O Cenário B é o que torna a cláusula visível: é nele que a regra deontológica se descola do que a aritmética indicaria, elevando o protocolo do gradiente baixo direto ao patamar crítico.</w:t>
      </w:r>
    </w:p>
    <w:p w14:paraId="14F11E72" w14:textId="77777777" w:rsidR="00A316F7" w:rsidRDefault="00A316F7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0129C838" w14:textId="77777777" w:rsidR="00A316F7" w:rsidRDefault="00A316F7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AF2C6CA" w14:textId="77777777" w:rsidR="00973582" w:rsidRPr="00F330B8" w:rsidRDefault="00000000" w:rsidP="00F330B8">
      <w:pPr>
        <w:pStyle w:val="Heading2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3.5 Crítica</w:t>
      </w:r>
      <w:r w:rsidR="00A316F7">
        <w:rPr>
          <w:rFonts w:ascii="Times New Roman" w:hAnsi="Times New Roman" w:cs="Times New Roman"/>
          <w:sz w:val="24"/>
          <w:szCs w:val="24"/>
        </w:rPr>
        <w:t>:</w:t>
      </w:r>
      <w:r w:rsidRPr="00F330B8">
        <w:rPr>
          <w:rFonts w:ascii="Times New Roman" w:hAnsi="Times New Roman" w:cs="Times New Roman"/>
          <w:sz w:val="24"/>
          <w:szCs w:val="24"/>
        </w:rPr>
        <w:t xml:space="preserve"> o que um leitor técnico pode levantar</w:t>
      </w:r>
    </w:p>
    <w:p w14:paraId="0EC100F0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“Por que uma salvaguarda em vez de simplesmente atribuir peso muito alto a P4.1 e P4.2?” Porque um peso alto, ainda que grande, permaneceria dentro da soma e poderia, em tese, ser compensado ou diluído pela combinação dos demais blocos. A salvaguarda garante que a condição prevaleça em qualquer configuração de escore.</w:t>
      </w:r>
    </w:p>
    <w:p w14:paraId="1D4DB60E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“Isso não gera sobre-classificação?” Pode gerar, em algum percentual</w:t>
      </w:r>
      <w:r w:rsidR="00A316F7">
        <w:rPr>
          <w:rFonts w:ascii="Times New Roman" w:hAnsi="Times New Roman" w:cs="Times New Roman"/>
          <w:sz w:val="24"/>
          <w:szCs w:val="24"/>
        </w:rPr>
        <w:t>,</w:t>
      </w:r>
      <w:r w:rsidRPr="00F330B8">
        <w:rPr>
          <w:rFonts w:ascii="Times New Roman" w:hAnsi="Times New Roman" w:cs="Times New Roman"/>
          <w:sz w:val="24"/>
          <w:szCs w:val="24"/>
        </w:rPr>
        <w:t xml:space="preserve"> é o custo deliberado da precaução. A Frente 2 do Apêndice F (distribuição empírica nos níveis) é o instrumento para verificar com que frequência a cláusula é acionada e se a elevação se mostra desproporcional na casuística real.</w:t>
      </w:r>
    </w:p>
    <w:p w14:paraId="494DF9C6" w14:textId="77777777" w:rsidR="00973582" w:rsidRPr="00F330B8" w:rsidRDefault="00000000" w:rsidP="00F330B8">
      <w:pPr>
        <w:pStyle w:val="ListParagraph"/>
        <w:numPr>
          <w:ilvl w:val="0"/>
          <w:numId w:val="2"/>
        </w:numPr>
        <w:spacing w:after="8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“A elevação é automática ou faculdade do colegiado?” A MARIA aplica a elevação na classificação que computa; a decisão final permanece com o CEP. Como em todo o instrumento, a matriz não aprova nem reprova protocolos e não substitui a deliberação colegiada. A salvaguarda é um sinalizador conservador, não um veredito.</w:t>
      </w:r>
    </w:p>
    <w:p w14:paraId="4F73EDBB" w14:textId="77777777" w:rsidR="00973582" w:rsidRPr="00F330B8" w:rsidRDefault="00000000" w:rsidP="00F330B8">
      <w:pPr>
        <w:pStyle w:val="Heading1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4. Gatilho 3 Questões eliminatórias (modo Res. 738)</w:t>
      </w:r>
    </w:p>
    <w:p w14:paraId="2D73FFBE" w14:textId="77777777" w:rsidR="00973582" w:rsidRPr="00F330B8" w:rsidRDefault="00000000" w:rsidP="00A316F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O terceiro gatilho é de natureza distinta dos dois primeiros e, por isso, é apresentado apenas em parágrafo. No modo Res. 738, determinadas questões são eliminatórias: quando acionadas, não elevam o protocolo a um nível de risco mais alto. Elas o retiram do fluxo de classificação, atribuindo-lhe a saída categorial “não avaliável pela MARIA”. Essa saída não é um quinto nível nem um agravamento da soma; é uma recusa de classificação, que sinaliza que o protocolo exige análise individualizada do colegiado, fora do alcance do instrumento. É, nesse sentido, a salvaguarda mais radical dos três: enquanto o Gatilho 1 e o Gatilho 2 forçam a elevação para dentro da escala, a questão eliminatória sobrescreve a soma reconhecendo o limite da própria matriz. O acionamento remete o caso à deliberação do CEP, em coerência com o disclaimer da MARIA, que não substitui o julgamento do colegiado.</w:t>
      </w:r>
    </w:p>
    <w:p w14:paraId="5626E993" w14:textId="77777777" w:rsidR="00973582" w:rsidRPr="00F330B8" w:rsidRDefault="00000000" w:rsidP="00F330B8">
      <w:pPr>
        <w:pStyle w:val="Heading1"/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>5. Em síntese</w:t>
      </w:r>
    </w:p>
    <w:p w14:paraId="2DDB862B" w14:textId="77777777" w:rsidR="00973582" w:rsidRPr="00F330B8" w:rsidRDefault="00000000" w:rsidP="00A316F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 xml:space="preserve">Os três gatilhos </w:t>
      </w:r>
      <w:r w:rsidR="00A316F7">
        <w:rPr>
          <w:rFonts w:ascii="Times New Roman" w:hAnsi="Times New Roman" w:cs="Times New Roman"/>
          <w:sz w:val="24"/>
          <w:szCs w:val="24"/>
        </w:rPr>
        <w:t>(</w:t>
      </w:r>
      <w:r w:rsidRPr="00F330B8">
        <w:rPr>
          <w:rFonts w:ascii="Times New Roman" w:hAnsi="Times New Roman" w:cs="Times New Roman"/>
          <w:sz w:val="24"/>
          <w:szCs w:val="24"/>
        </w:rPr>
        <w:t>a regra especial do Eixo 3.b, a Cláusula de Prevalência Ética e as questões eliminatórias</w:t>
      </w:r>
      <w:r w:rsidR="00A316F7">
        <w:rPr>
          <w:rFonts w:ascii="Times New Roman" w:hAnsi="Times New Roman" w:cs="Times New Roman"/>
          <w:sz w:val="24"/>
          <w:szCs w:val="24"/>
        </w:rPr>
        <w:t>)</w:t>
      </w:r>
      <w:r w:rsidRPr="00F330B8">
        <w:rPr>
          <w:rFonts w:ascii="Times New Roman" w:hAnsi="Times New Roman" w:cs="Times New Roman"/>
          <w:sz w:val="24"/>
          <w:szCs w:val="24"/>
        </w:rPr>
        <w:t xml:space="preserve"> materializam, em conjunto, a postura conservadora da MARIA. São decisões éticas embutidas na escala, não derivações estatísticas: cada uma identifica uma condição que não admite tratamento gradual e faz com que a sua presença prevaleça sobre a contagem (Versão A) ou a soma (Versão B). São assimetrias deliberadas, assumidas como tais, </w:t>
      </w:r>
      <w:r w:rsidRPr="00F330B8">
        <w:rPr>
          <w:rFonts w:ascii="Times New Roman" w:hAnsi="Times New Roman" w:cs="Times New Roman"/>
          <w:sz w:val="24"/>
          <w:szCs w:val="24"/>
        </w:rPr>
        <w:lastRenderedPageBreak/>
        <w:t xml:space="preserve">que priorizam a precaução sobre a proporcionalidade fina </w:t>
      </w:r>
      <w:r w:rsidR="00A316F7">
        <w:rPr>
          <w:rFonts w:ascii="Times New Roman" w:hAnsi="Times New Roman" w:cs="Times New Roman"/>
          <w:sz w:val="24"/>
          <w:szCs w:val="24"/>
        </w:rPr>
        <w:t>e</w:t>
      </w:r>
      <w:r w:rsidRPr="00F330B8">
        <w:rPr>
          <w:rFonts w:ascii="Times New Roman" w:hAnsi="Times New Roman" w:cs="Times New Roman"/>
          <w:sz w:val="24"/>
          <w:szCs w:val="24"/>
        </w:rPr>
        <w:t xml:space="preserve"> escolha coerente com a ausência, neste estágio, de evidência empírica que permitisse uma calibração proporcional.</w:t>
      </w:r>
    </w:p>
    <w:p w14:paraId="59B6EA53" w14:textId="77777777" w:rsidR="00973582" w:rsidRDefault="00000000" w:rsidP="00A316F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330B8">
        <w:rPr>
          <w:rFonts w:ascii="Times New Roman" w:hAnsi="Times New Roman" w:cs="Times New Roman"/>
          <w:sz w:val="24"/>
          <w:szCs w:val="24"/>
        </w:rPr>
        <w:t xml:space="preserve">A Frente 2 do Apêndice F (distribuição empírica nos quatro níveis, na Versão B) é o instrumento prospectivo desenhado para verificar, na casuística real dos CEPs, se esses gatilhos estão bem calibrados ou se produzem sobre-classificação que justifique ajuste. Eventuais sugestões do GT sobre essas regras serão consolidadas no fechamento do período de leitura, antes do envio do Guia à Editora MS. Observações e críticas técnicas podem ser encaminhadas, em qualquer momento, à </w:t>
      </w:r>
      <w:r w:rsidR="00A316F7">
        <w:rPr>
          <w:rFonts w:ascii="Times New Roman" w:hAnsi="Times New Roman" w:cs="Times New Roman"/>
          <w:sz w:val="24"/>
          <w:szCs w:val="24"/>
        </w:rPr>
        <w:t>CGREP (</w:t>
      </w:r>
      <w:hyperlink r:id="rId7" w:history="1">
        <w:r w:rsidR="002A68F7" w:rsidRPr="000B5DAE">
          <w:rPr>
            <w:rStyle w:val="Hyperlink"/>
            <w:rFonts w:ascii="Times New Roman" w:hAnsi="Times New Roman" w:cs="Times New Roman"/>
            <w:sz w:val="24"/>
            <w:szCs w:val="24"/>
          </w:rPr>
          <w:t>cgrep@saude.gov.br</w:t>
        </w:r>
      </w:hyperlink>
      <w:r w:rsidR="00A316F7">
        <w:rPr>
          <w:rFonts w:ascii="Times New Roman" w:hAnsi="Times New Roman" w:cs="Times New Roman"/>
          <w:sz w:val="24"/>
          <w:szCs w:val="24"/>
        </w:rPr>
        <w:t>).</w:t>
      </w:r>
    </w:p>
    <w:p w14:paraId="59484FA9" w14:textId="77777777" w:rsidR="002A68F7" w:rsidRPr="00F330B8" w:rsidRDefault="002A68F7" w:rsidP="00A316F7">
      <w:pPr>
        <w:spacing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sectPr w:rsidR="002A68F7" w:rsidRPr="00F330B8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A581B" w14:textId="77777777" w:rsidR="008701C5" w:rsidRDefault="008701C5">
      <w:r>
        <w:separator/>
      </w:r>
    </w:p>
  </w:endnote>
  <w:endnote w:type="continuationSeparator" w:id="0">
    <w:p w14:paraId="24495B41" w14:textId="77777777" w:rsidR="008701C5" w:rsidRDefault="008701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62999" w14:textId="77777777" w:rsidR="00973582" w:rsidRDefault="00000000">
    <w:pPr>
      <w:jc w:val="center"/>
    </w:pP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F330B8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· Organização do GT INAEP · Ministério da Saúde ·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9FC0D8" w14:textId="77777777" w:rsidR="008701C5" w:rsidRDefault="008701C5">
      <w:r>
        <w:separator/>
      </w:r>
    </w:p>
  </w:footnote>
  <w:footnote w:type="continuationSeparator" w:id="0">
    <w:p w14:paraId="334676EE" w14:textId="77777777" w:rsidR="008701C5" w:rsidRDefault="008701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09964" w14:textId="77777777" w:rsidR="00973582" w:rsidRDefault="00000000">
    <w:pPr>
      <w:jc w:val="right"/>
    </w:pPr>
    <w:r>
      <w:rPr>
        <w:color w:val="6B7280"/>
        <w:sz w:val="16"/>
        <w:szCs w:val="16"/>
      </w:rPr>
      <w:t>MARIA — Suplemento técnico · Mecanismos de salvaguarda automática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954A7"/>
    <w:multiLevelType w:val="hybridMultilevel"/>
    <w:tmpl w:val="A7F0545E"/>
    <w:lvl w:ilvl="0" w:tplc="2966922A">
      <w:start w:val="1"/>
      <w:numFmt w:val="bullet"/>
      <w:lvlText w:val="•"/>
      <w:lvlJc w:val="left"/>
      <w:pPr>
        <w:ind w:left="540" w:hanging="280"/>
      </w:pPr>
    </w:lvl>
    <w:lvl w:ilvl="1" w:tplc="E14CB9EA">
      <w:numFmt w:val="decimal"/>
      <w:lvlText w:val=""/>
      <w:lvlJc w:val="left"/>
    </w:lvl>
    <w:lvl w:ilvl="2" w:tplc="CD408780">
      <w:numFmt w:val="decimal"/>
      <w:lvlText w:val=""/>
      <w:lvlJc w:val="left"/>
    </w:lvl>
    <w:lvl w:ilvl="3" w:tplc="CC6A9A40">
      <w:numFmt w:val="decimal"/>
      <w:lvlText w:val=""/>
      <w:lvlJc w:val="left"/>
    </w:lvl>
    <w:lvl w:ilvl="4" w:tplc="3294B022">
      <w:numFmt w:val="decimal"/>
      <w:lvlText w:val=""/>
      <w:lvlJc w:val="left"/>
    </w:lvl>
    <w:lvl w:ilvl="5" w:tplc="8280FDD8">
      <w:numFmt w:val="decimal"/>
      <w:lvlText w:val=""/>
      <w:lvlJc w:val="left"/>
    </w:lvl>
    <w:lvl w:ilvl="6" w:tplc="F48E9118">
      <w:numFmt w:val="decimal"/>
      <w:lvlText w:val=""/>
      <w:lvlJc w:val="left"/>
    </w:lvl>
    <w:lvl w:ilvl="7" w:tplc="EAECEFA2">
      <w:numFmt w:val="decimal"/>
      <w:lvlText w:val=""/>
      <w:lvlJc w:val="left"/>
    </w:lvl>
    <w:lvl w:ilvl="8" w:tplc="C03676FE">
      <w:numFmt w:val="decimal"/>
      <w:lvlText w:val=""/>
      <w:lvlJc w:val="left"/>
    </w:lvl>
  </w:abstractNum>
  <w:abstractNum w:abstractNumId="1" w15:restartNumberingAfterBreak="0">
    <w:nsid w:val="5D8E552B"/>
    <w:multiLevelType w:val="hybridMultilevel"/>
    <w:tmpl w:val="596E3692"/>
    <w:lvl w:ilvl="0" w:tplc="D818B40E">
      <w:start w:val="1"/>
      <w:numFmt w:val="bullet"/>
      <w:lvlText w:val="●"/>
      <w:lvlJc w:val="left"/>
      <w:pPr>
        <w:ind w:left="720" w:hanging="360"/>
      </w:pPr>
    </w:lvl>
    <w:lvl w:ilvl="1" w:tplc="2A4A9DB8">
      <w:start w:val="1"/>
      <w:numFmt w:val="bullet"/>
      <w:lvlText w:val="○"/>
      <w:lvlJc w:val="left"/>
      <w:pPr>
        <w:ind w:left="1440" w:hanging="360"/>
      </w:pPr>
    </w:lvl>
    <w:lvl w:ilvl="2" w:tplc="0A28230E">
      <w:start w:val="1"/>
      <w:numFmt w:val="bullet"/>
      <w:lvlText w:val="■"/>
      <w:lvlJc w:val="left"/>
      <w:pPr>
        <w:ind w:left="2160" w:hanging="360"/>
      </w:pPr>
    </w:lvl>
    <w:lvl w:ilvl="3" w:tplc="219A8EC4">
      <w:start w:val="1"/>
      <w:numFmt w:val="bullet"/>
      <w:lvlText w:val="●"/>
      <w:lvlJc w:val="left"/>
      <w:pPr>
        <w:ind w:left="2880" w:hanging="360"/>
      </w:pPr>
    </w:lvl>
    <w:lvl w:ilvl="4" w:tplc="89CE37EA">
      <w:start w:val="1"/>
      <w:numFmt w:val="bullet"/>
      <w:lvlText w:val="○"/>
      <w:lvlJc w:val="left"/>
      <w:pPr>
        <w:ind w:left="3600" w:hanging="360"/>
      </w:pPr>
    </w:lvl>
    <w:lvl w:ilvl="5" w:tplc="5DAE683A">
      <w:start w:val="1"/>
      <w:numFmt w:val="bullet"/>
      <w:lvlText w:val="■"/>
      <w:lvlJc w:val="left"/>
      <w:pPr>
        <w:ind w:left="4320" w:hanging="360"/>
      </w:pPr>
    </w:lvl>
    <w:lvl w:ilvl="6" w:tplc="F3A6B7B0">
      <w:start w:val="1"/>
      <w:numFmt w:val="bullet"/>
      <w:lvlText w:val="●"/>
      <w:lvlJc w:val="left"/>
      <w:pPr>
        <w:ind w:left="5040" w:hanging="360"/>
      </w:pPr>
    </w:lvl>
    <w:lvl w:ilvl="7" w:tplc="6FA0AA36">
      <w:start w:val="1"/>
      <w:numFmt w:val="bullet"/>
      <w:lvlText w:val="●"/>
      <w:lvlJc w:val="left"/>
      <w:pPr>
        <w:ind w:left="5760" w:hanging="360"/>
      </w:pPr>
    </w:lvl>
    <w:lvl w:ilvl="8" w:tplc="51BC0BB6">
      <w:start w:val="1"/>
      <w:numFmt w:val="bullet"/>
      <w:lvlText w:val="●"/>
      <w:lvlJc w:val="left"/>
      <w:pPr>
        <w:ind w:left="6480" w:hanging="360"/>
      </w:pPr>
    </w:lvl>
  </w:abstractNum>
  <w:num w:numId="1" w16cid:durableId="1761414528">
    <w:abstractNumId w:val="1"/>
    <w:lvlOverride w:ilvl="0">
      <w:startOverride w:val="1"/>
    </w:lvlOverride>
  </w:num>
  <w:num w:numId="2" w16cid:durableId="15028929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582"/>
    <w:rsid w:val="00120BC4"/>
    <w:rsid w:val="001C0D30"/>
    <w:rsid w:val="00285364"/>
    <w:rsid w:val="002A68F7"/>
    <w:rsid w:val="003E0989"/>
    <w:rsid w:val="004956F1"/>
    <w:rsid w:val="00555D69"/>
    <w:rsid w:val="007F1C28"/>
    <w:rsid w:val="008701C5"/>
    <w:rsid w:val="00935DC8"/>
    <w:rsid w:val="00973582"/>
    <w:rsid w:val="009804FE"/>
    <w:rsid w:val="00A316F7"/>
    <w:rsid w:val="00B10850"/>
    <w:rsid w:val="00C30793"/>
    <w:rsid w:val="00D022B7"/>
    <w:rsid w:val="00D44E19"/>
    <w:rsid w:val="00F330B8"/>
    <w:rsid w:val="00FB7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B50233D"/>
  <w15:docId w15:val="{25B0B807-18C3-4A49-AE0F-104B0720B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0F766E"/>
      <w:sz w:val="26"/>
      <w:szCs w:val="26"/>
    </w:rPr>
  </w:style>
  <w:style w:type="paragraph" w:styleId="Heading2">
    <w:name w:val="heading 2"/>
    <w:uiPriority w:val="9"/>
    <w:unhideWhenUsed/>
    <w:qFormat/>
    <w:pPr>
      <w:spacing w:before="160" w:after="80"/>
      <w:outlineLvl w:val="1"/>
    </w:pPr>
    <w:rPr>
      <w:b/>
      <w:bCs/>
      <w:color w:val="1F2937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A68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cgrep@saude.gov.b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2291</Words>
  <Characters>11825</Characters>
  <Application>Microsoft Office Word</Application>
  <DocSecurity>0</DocSecurity>
  <Lines>275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Fabiano Tonaco Borges</cp:lastModifiedBy>
  <cp:revision>2</cp:revision>
  <dcterms:created xsi:type="dcterms:W3CDTF">2026-06-14T20:24:00Z</dcterms:created>
  <dcterms:modified xsi:type="dcterms:W3CDTF">2026-06-14T20:24:00Z</dcterms:modified>
</cp:coreProperties>
</file>