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i w:val="0"/>
          <w:color w:val="0F766E"/>
          <w:sz w:val="40"/>
        </w:rPr>
        <w:t>MARIAH</w:t>
      </w:r>
    </w:p>
    <w:p>
      <w:r>
        <w:rPr>
          <w:rFonts w:ascii="Arial" w:hAnsi="Arial"/>
          <w:b/>
          <w:i w:val="0"/>
          <w:sz w:val="26"/>
        </w:rPr>
        <w:t>Instrucciones de Cumplimentación</w:t>
      </w:r>
    </w:p>
    <w:p>
      <w:r>
        <w:rPr>
          <w:rFonts w:ascii="Arial" w:hAnsi="Arial"/>
          <w:b/>
          <w:i w:val="0"/>
          <w:color w:val="0F766E"/>
          <w:sz w:val="24"/>
        </w:rPr>
        <w:t>Versión A — Cualitativa</w:t>
      </w:r>
    </w:p>
    <w:p>
      <w:pPr>
        <w:spacing w:after="120"/>
      </w:pPr>
      <w:r>
        <w:rPr>
          <w:rFonts w:ascii="Arial" w:hAnsi="Arial"/>
          <w:b w:val="0"/>
          <w:i w:val="0"/>
          <w:color w:val="555555"/>
          <w:sz w:val="19"/>
        </w:rPr>
        <w:t>Recorrido por cinco ejes (más el Eje 3.b condicional)</w:t>
      </w:r>
    </w:p>
    <w:p>
      <w:pPr>
        <w:spacing w:after="120"/>
      </w:pPr>
      <w:r>
        <w:rPr>
          <w:rFonts w:ascii="Arial" w:hAnsi="Arial"/>
          <w:b w:val="0"/>
          <w:i/>
          <w:color w:val="555555"/>
          <w:sz w:val="19"/>
        </w:rPr>
        <w:t>Matriz de Evaluación de Riesgo en Inteligencia Artificial en Investigación con Seres Humanos</w:t>
      </w:r>
    </w:p>
    <w:p>
      <w:pPr>
        <w:spacing w:after="120"/>
      </w:pPr>
      <w:r>
        <w:rPr>
          <w:rFonts w:ascii="Arial" w:hAnsi="Arial"/>
          <w:b w:val="0"/>
          <w:i/>
          <w:color w:val="555555"/>
          <w:sz w:val="17"/>
        </w:rPr>
        <w:t>Documento generado a partir de la especificación canónica de la matriz (v2). Versión aprobada por la INAEP el 16/09/2026 (Voto n.º 25/2026) y publicada el 25/09/2026 — en período de uso y prueba por los CEPs.</w:t>
      </w:r>
    </w:p>
    <w:p>
      <w:pPr>
        <w:spacing w:after="120"/>
      </w:pPr>
      <w:r>
        <w:rPr>
          <w:rFonts w:ascii="Arial" w:hAnsi="Arial"/>
          <w:b w:val="0"/>
          <w:i/>
          <w:color w:val="555555"/>
          <w:sz w:val="17"/>
        </w:rPr>
        <w:t>Esta es una traducción de cortesía. La versión normativa vigente es la versión en portugués (pt-BR).</w:t>
      </w:r>
    </w:p>
    <w:p>
      <w:pPr>
        <w:spacing w:before="200" w:after="80"/>
      </w:pPr>
      <w:r>
        <w:rPr>
          <w:rFonts w:ascii="Arial" w:hAnsi="Arial"/>
          <w:b/>
          <w:i w:val="0"/>
          <w:color w:val="0F766E"/>
          <w:sz w:val="25"/>
        </w:rPr>
        <w:t>1. Cómo funciona la Versión A</w:t>
      </w:r>
    </w:p>
    <w:p>
      <w:pPr>
        <w:spacing w:after="120"/>
      </w:pPr>
      <w:r>
        <w:rPr>
          <w:rFonts w:ascii="Arial" w:hAnsi="Arial"/>
          <w:b w:val="0"/>
          <w:i w:val="0"/>
          <w:sz w:val="21"/>
        </w:rPr>
        <w:t>La Versión A es cualitativa: preguntas de respuesta binaria, organizadas en cinco ejes temáticos, recorridos en secuencia. En cada eje, cualquier respuesta de riesgo eleva el nivel del eje; el nivel final del protocolo es el MÁXIMO entre los ejes — el riesgo solo sube, nunca baja.</w:t>
      </w:r>
    </w:p>
    <w:p>
      <w:pPr>
        <w:spacing w:after="120"/>
      </w:pPr>
      <w:r>
        <w:rPr>
          <w:rFonts w:ascii="Arial" w:hAnsi="Arial"/>
          <w:b w:val="0"/>
          <w:i w:val="0"/>
          <w:sz w:val="21"/>
        </w:rPr>
        <w:t>Mecanismos: (a) la regla especial del Eje 3.b (banco de datos, Res. CNS n.º 738/2024): 0 respuestas de riesgo → Nivel I; 1–2 → Nivel III; 3 o más → Nivel IV; (b) la eliminatoria de cadena de custodia (3.b.2), que vuelve el protocolo «no evaluable por la MARIAH»; (c) los ítems de diligencia del Eje 3.b, que no puntúan y, cuando no se cumplen, devuelven el protocolo al investigador; y (d) la diligencia de nuevo consentimiento (2.10), eliminatoria para sistemas adaptativos sin plan de nuevo consentimiento. En la Versión A las mitigaciones no alteran el nivel.</w:t>
      </w:r>
    </w:p>
    <w:p>
      <w:pPr>
        <w:spacing w:before="200" w:after="80"/>
      </w:pPr>
      <w:r>
        <w:rPr>
          <w:rFonts w:ascii="Arial" w:hAnsi="Arial"/>
          <w:b/>
          <w:i w:val="0"/>
          <w:color w:val="0F766E"/>
          <w:sz w:val="25"/>
        </w:rPr>
        <w:t>Paso 0 — Filtro de banco de datos (Res. CNS n.º 738/2024)</w:t>
      </w:r>
    </w:p>
    <w:p>
      <w:pPr>
        <w:spacing w:after="120"/>
      </w:pPr>
      <w:r>
        <w:rPr>
          <w:rFonts w:ascii="Arial" w:hAnsi="Arial"/>
          <w:b w:val="0"/>
          <w:i w:val="0"/>
          <w:sz w:val="21"/>
        </w:rPr>
        <w:t>¿El protocolo utiliza un banco de datos —propio, de otra investigación o de una institución externa?</w:t>
      </w:r>
    </w:p>
    <w:p>
      <w:pPr>
        <w:spacing w:after="120"/>
      </w:pPr>
      <w:r>
        <w:rPr>
          <w:rFonts w:ascii="Arial" w:hAnsi="Arial"/>
          <w:b w:val="0"/>
          <w:i w:val="0"/>
          <w:color w:val="555555"/>
          <w:sz w:val="19"/>
        </w:rPr>
        <w:t>Este filtro activa la subsección Res. CNS n.º 738/2024 (Eje 3.b en la Versión A y Bloque 6.b en la Versión B). Los bancos abarcan datos recolectados fuera del alcance directo de cada persona participante de esta investigación. No marque «Sí» cuando el protocolo recolecta datos exclusivamente en el alcance de la investigación con cada persona participante.</w:t>
      </w:r>
    </w:p>
    <w:p>
      <w:pPr>
        <w:spacing w:before="200" w:after="80"/>
      </w:pPr>
      <w:r>
        <w:rPr>
          <w:rFonts w:ascii="Arial" w:hAnsi="Arial"/>
          <w:b/>
          <w:i w:val="0"/>
          <w:color w:val="0F766E"/>
          <w:sz w:val="25"/>
        </w:rPr>
        <w:t>Caracterización del contexto de uso (no puntúa)</w:t>
      </w:r>
    </w:p>
    <w:p>
      <w:pPr>
        <w:spacing w:after="120"/>
      </w:pPr>
      <w:r>
        <w:rPr>
          <w:rFonts w:ascii="Arial" w:hAnsi="Arial"/>
          <w:b w:val="0"/>
          <w:i w:val="0"/>
          <w:sz w:val="19"/>
        </w:rPr>
        <w:t>Antes de la puntuación, el protocolo responde a ocho preguntas descriptivas obligatorias. No puntúan ni determinan el nivel por sí mismas: delimitan el objeto de la evaluación y modulan la lectura de los ejes/bloques.</w:t>
      </w:r>
    </w:p>
    <w:tbl>
      <w:tblPr>
        <w:tblStyle w:val="TableGrid"/>
        <w:tblW w:type="auto" w:w="0"/>
        <w:tblLook w:firstColumn="1" w:firstRow="1" w:lastColumn="0" w:lastRow="0" w:noHBand="0" w:noVBand="1" w:val="04A0"/>
      </w:tblPr>
      <w:tblGrid>
        <w:gridCol w:w="1247"/>
        <w:gridCol w:w="8391"/>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descriptiva</w:t>
            </w:r>
          </w:p>
        </w:tc>
      </w:tr>
      <w:tr>
        <w:tc>
          <w:tcPr>
            <w:tcW w:type="dxa" w:w="1247"/>
          </w:tcPr>
          <w:p>
            <w:r>
              <w:rPr>
                <w:rFonts w:ascii="Arial" w:hAnsi="Arial"/>
                <w:b/>
                <w:i w:val="0"/>
                <w:sz w:val="19"/>
              </w:rPr>
              <w:t>C.1</w:t>
            </w:r>
          </w:p>
        </w:tc>
        <w:tc>
          <w:tcPr>
            <w:tcW w:type="dxa" w:w="8391"/>
          </w:tcPr>
          <w:p>
            <w:r>
              <w:rPr>
                <w:rFonts w:ascii="Arial" w:hAnsi="Arial"/>
                <w:b w:val="0"/>
                <w:i w:val="0"/>
                <w:sz w:val="19"/>
              </w:rPr>
              <w:t>¿Cuál es la pregunta que el sistema de IA fue desarrollado para responder en este protocolo?</w:t>
            </w:r>
          </w:p>
          <w:p>
            <w:r>
              <w:rPr>
                <w:rFonts w:ascii="Arial" w:hAnsi="Arial"/>
                <w:b w:val="0"/>
                <w:i w:val="0"/>
                <w:color w:val="555555"/>
                <w:sz w:val="17"/>
              </w:rPr>
              <w:t>Describa la pregunta principal que el sistema de IA busca responder en el contexto del estudio. Ej.: «¿El sistema prevé el riesgo de reingreso hospitalario en 30 días para pacientes con insuficiencia cardíaca?»</w:t>
            </w:r>
          </w:p>
        </w:tc>
      </w:tr>
      <w:tr>
        <w:tc>
          <w:tcPr>
            <w:tcW w:type="dxa" w:w="1247"/>
          </w:tcPr>
          <w:p>
            <w:r>
              <w:rPr>
                <w:rFonts w:ascii="Arial" w:hAnsi="Arial"/>
                <w:b/>
                <w:i w:val="0"/>
                <w:sz w:val="19"/>
              </w:rPr>
              <w:t>C.2</w:t>
            </w:r>
          </w:p>
        </w:tc>
        <w:tc>
          <w:tcPr>
            <w:tcW w:type="dxa" w:w="8391"/>
          </w:tcPr>
          <w:p>
            <w:r>
              <w:rPr>
                <w:rFonts w:ascii="Arial" w:hAnsi="Arial"/>
                <w:b w:val="0"/>
                <w:i w:val="0"/>
                <w:sz w:val="19"/>
              </w:rPr>
              <w:t>¿El sistema responde a esa pregunta de forma autónoma o subsidia una decisión tomada por un ser humano?</w:t>
            </w:r>
          </w:p>
          <w:p>
            <w:r>
              <w:rPr>
                <w:rFonts w:ascii="Arial" w:hAnsi="Arial"/>
                <w:b w:val="0"/>
                <w:i w:val="0"/>
                <w:color w:val="555555"/>
                <w:sz w:val="17"/>
              </w:rPr>
              <w:t>Indique si el sistema toma la decisión de forma autónoma (sin intervención humana obligatoria) o si aporta insumos para que un profesional tome la decisión final.</w:t>
            </w:r>
          </w:p>
        </w:tc>
      </w:tr>
      <w:tr>
        <w:tc>
          <w:tcPr>
            <w:tcW w:type="dxa" w:w="1247"/>
          </w:tcPr>
          <w:p>
            <w:r>
              <w:rPr>
                <w:rFonts w:ascii="Arial" w:hAnsi="Arial"/>
                <w:b/>
                <w:i w:val="0"/>
                <w:sz w:val="19"/>
              </w:rPr>
              <w:t>C.3</w:t>
            </w:r>
          </w:p>
        </w:tc>
        <w:tc>
          <w:tcPr>
            <w:tcW w:type="dxa" w:w="8391"/>
          </w:tcPr>
          <w:p>
            <w:r>
              <w:rPr>
                <w:rFonts w:ascii="Arial" w:hAnsi="Arial"/>
                <w:b w:val="0"/>
                <w:i w:val="0"/>
                <w:sz w:val="19"/>
              </w:rPr>
              <w:t>¿Cuál es el estado de identificación de los datos personales utilizados en este protocolo?</w:t>
            </w:r>
          </w:p>
          <w:p>
            <w:r>
              <w:rPr>
                <w:rFonts w:ascii="Arial" w:hAnsi="Arial"/>
                <w:b w:val="0"/>
                <w:i w:val="0"/>
                <w:color w:val="555555"/>
                <w:sz w:val="17"/>
              </w:rPr>
              <w:t>El estado de identificación modula la lectura del Eje 3 / Bloque 6 y condiciona la pregunta C.5 (momento de la anonimización).</w:t>
            </w:r>
          </w:p>
        </w:tc>
      </w:tr>
      <w:tr>
        <w:tc>
          <w:tcPr>
            <w:tcW w:type="dxa" w:w="1247"/>
          </w:tcPr>
          <w:p>
            <w:r>
              <w:rPr>
                <w:rFonts w:ascii="Arial" w:hAnsi="Arial"/>
                <w:b/>
                <w:i w:val="0"/>
                <w:sz w:val="19"/>
              </w:rPr>
              <w:t>C.4</w:t>
            </w:r>
          </w:p>
        </w:tc>
        <w:tc>
          <w:tcPr>
            <w:tcW w:type="dxa" w:w="8391"/>
          </w:tcPr>
          <w:p>
            <w:r>
              <w:rPr>
                <w:rFonts w:ascii="Arial" w:hAnsi="Arial"/>
                <w:b w:val="0"/>
                <w:i w:val="0"/>
                <w:sz w:val="19"/>
              </w:rPr>
              <w:t>¿Cuál es el volumen aproximado de registros de participantes utilizados en este protocolo?</w:t>
            </w:r>
          </w:p>
          <w:p>
            <w:r>
              <w:rPr>
                <w:rFonts w:ascii="Arial" w:hAnsi="Arial"/>
                <w:b w:val="0"/>
                <w:i w:val="0"/>
                <w:color w:val="555555"/>
                <w:sz w:val="17"/>
              </w:rPr>
              <w:t>El volumen informa la evaluación de reidentificación (3.5 / P6.3) y el potencial de uso en entrenamiento. No hay un rango «seguro» — el CEP lee el número en el contexto.</w:t>
            </w:r>
          </w:p>
        </w:tc>
      </w:tr>
      <w:tr>
        <w:tc>
          <w:tcPr>
            <w:tcW w:type="dxa" w:w="1247"/>
          </w:tcPr>
          <w:p>
            <w:r>
              <w:rPr>
                <w:rFonts w:ascii="Arial" w:hAnsi="Arial"/>
                <w:b/>
                <w:i w:val="0"/>
                <w:sz w:val="19"/>
              </w:rPr>
              <w:t>C.5</w:t>
            </w:r>
          </w:p>
        </w:tc>
        <w:tc>
          <w:tcPr>
            <w:tcW w:type="dxa" w:w="8391"/>
          </w:tcPr>
          <w:p>
            <w:r>
              <w:rPr>
                <w:rFonts w:ascii="Arial" w:hAnsi="Arial"/>
                <w:b w:val="0"/>
                <w:i w:val="0"/>
                <w:sz w:val="19"/>
              </w:rPr>
              <w:t>¿En qué momento ocurre la anonimización de los datos en relación con el acceso por parte de los investigadores?</w:t>
            </w:r>
          </w:p>
          <w:p>
            <w:r>
              <w:rPr>
                <w:rFonts w:ascii="Arial" w:hAnsi="Arial"/>
                <w:b w:val="0"/>
                <w:i w:val="0"/>
                <w:color w:val="555555"/>
                <w:sz w:val="17"/>
              </w:rPr>
              <w:t>Si la anonimización la realizan los investigadores tras el acceso, hay una etapa de tratamiento de datos identificables que exige salvaguardas y justificación —léase en conjunto con el Eje 3.b / Bloque 6.b y con la ficha.</w:t>
            </w:r>
          </w:p>
        </w:tc>
      </w:tr>
      <w:tr>
        <w:tc>
          <w:tcPr>
            <w:tcW w:type="dxa" w:w="1247"/>
          </w:tcPr>
          <w:p>
            <w:r>
              <w:rPr>
                <w:rFonts w:ascii="Arial" w:hAnsi="Arial"/>
                <w:b/>
                <w:i w:val="0"/>
                <w:sz w:val="19"/>
              </w:rPr>
              <w:t>C.6</w:t>
            </w:r>
          </w:p>
        </w:tc>
        <w:tc>
          <w:tcPr>
            <w:tcW w:type="dxa" w:w="8391"/>
          </w:tcPr>
          <w:p>
            <w:r>
              <w:rPr>
                <w:rFonts w:ascii="Arial" w:hAnsi="Arial"/>
                <w:b w:val="0"/>
                <w:i w:val="0"/>
                <w:sz w:val="19"/>
              </w:rPr>
              <w:t>¿Cuál es el papel del sistema de IA en este protocolo?</w:t>
            </w:r>
          </w:p>
          <w:p>
            <w:r>
              <w:rPr>
                <w:rFonts w:ascii="Arial" w:hAnsi="Arial"/>
                <w:b w:val="0"/>
                <w:i w:val="0"/>
                <w:color w:val="555555"/>
                <w:sz w:val="17"/>
              </w:rPr>
              <w:t>La IA como objeto de desarrollo eleva los riesgos de reutilización, inferencia y gobernanza. El CEP registra la distinción en el dictamen; la modulación del nivel de riesgo, de adoptarse algún día, exigirá una validación propia.</w:t>
            </w:r>
          </w:p>
        </w:tc>
      </w:tr>
      <w:tr>
        <w:tc>
          <w:tcPr>
            <w:tcW w:type="dxa" w:w="1247"/>
          </w:tcPr>
          <w:p>
            <w:r>
              <w:rPr>
                <w:rFonts w:ascii="Arial" w:hAnsi="Arial"/>
                <w:b/>
                <w:i w:val="0"/>
                <w:sz w:val="19"/>
              </w:rPr>
              <w:t>C.7</w:t>
            </w:r>
          </w:p>
        </w:tc>
        <w:tc>
          <w:tcPr>
            <w:tcW w:type="dxa" w:w="8391"/>
          </w:tcPr>
          <w:p>
            <w:r>
              <w:rPr>
                <w:rFonts w:ascii="Arial" w:hAnsi="Arial"/>
                <w:b w:val="0"/>
                <w:i w:val="0"/>
                <w:sz w:val="19"/>
              </w:rPr>
              <w:t>¿Cuál es el destino previsto del modelo de IA utilizado o desarrollado en este protocolo?</w:t>
            </w:r>
          </w:p>
          <w:p>
            <w:r>
              <w:rPr>
                <w:rFonts w:ascii="Arial" w:hAnsi="Arial"/>
                <w:b w:val="0"/>
                <w:i w:val="0"/>
                <w:color w:val="555555"/>
                <w:sz w:val="17"/>
              </w:rPr>
              <w:t>Si el destino es un uso futuro/amplio o la compartición, léase en conjunto con 3.3/P6.4 (consentimiento para entrenamiento) y con el Eje 3.b / Bloque 6.b.</w:t>
            </w:r>
          </w:p>
        </w:tc>
      </w:tr>
      <w:tr>
        <w:tc>
          <w:tcPr>
            <w:tcW w:type="dxa" w:w="1247"/>
          </w:tcPr>
          <w:p>
            <w:r>
              <w:rPr>
                <w:rFonts w:ascii="Arial" w:hAnsi="Arial"/>
                <w:b/>
                <w:i w:val="0"/>
                <w:sz w:val="19"/>
              </w:rPr>
              <w:t>C.8</w:t>
            </w:r>
          </w:p>
        </w:tc>
        <w:tc>
          <w:tcPr>
            <w:tcW w:type="dxa" w:w="8391"/>
          </w:tcPr>
          <w:p>
            <w:r>
              <w:rPr>
                <w:rFonts w:ascii="Arial" w:hAnsi="Arial"/>
                <w:b w:val="0"/>
                <w:i w:val="0"/>
                <w:sz w:val="19"/>
              </w:rPr>
              <w:t>¿Habrá compartición del banco de datos, total o parcial, con terceros además de las instituciones participantes del protocolo?</w:t>
            </w:r>
          </w:p>
          <w:p>
            <w:r>
              <w:rPr>
                <w:rFonts w:ascii="Arial" w:hAnsi="Arial"/>
                <w:b w:val="0"/>
                <w:i w:val="0"/>
                <w:color w:val="555555"/>
                <w:sz w:val="17"/>
              </w:rPr>
              <w:t>Si hay compartición, léase en conjunto con 3.b.5/P6.b.5 (acuerdo formal) y 3.2/P6.2 (transferencia internacional).</w:t>
            </w:r>
          </w:p>
        </w:tc>
      </w:tr>
    </w:tbl>
    <w:p>
      <w:pPr>
        <w:spacing w:before="200" w:after="80"/>
      </w:pPr>
      <w:r>
        <w:rPr>
          <w:rFonts w:ascii="Arial" w:hAnsi="Arial"/>
          <w:b/>
          <w:i w:val="0"/>
          <w:color w:val="0F766E"/>
          <w:sz w:val="25"/>
        </w:rPr>
        <w:t>2. Preguntas por eje</w:t>
      </w:r>
    </w:p>
    <w:p>
      <w:pPr>
        <w:spacing w:before="200" w:after="80"/>
      </w:pPr>
      <w:r>
        <w:rPr>
          <w:rFonts w:ascii="Arial" w:hAnsi="Arial"/>
          <w:b/>
          <w:i w:val="0"/>
          <w:color w:val="0F766E"/>
          <w:sz w:val="25"/>
        </w:rPr>
        <w:t>Eje 1: Naturaleza y Autonomía del Sistema</w:t>
      </w:r>
    </w:p>
    <w:p>
      <w:pPr>
        <w:spacing w:after="120"/>
      </w:pPr>
      <w:r>
        <w:rPr>
          <w:rFonts w:ascii="Arial" w:hAnsi="Arial"/>
          <w:b w:val="0"/>
          <w:i w:val="0"/>
          <w:color w:val="555555"/>
          <w:sz w:val="19"/>
        </w:rPr>
        <w:t>Evalúa el grado de autonomía del sistema, su capacidad adaptativa y los riesgos asociados a su naturaleza técnica.</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1.1</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sistema toma decisiones o emite recomendaciones sin intervención humana obligatoria antes de la ejecución?</w:t>
            </w:r>
          </w:p>
          <w:p>
            <w:r>
              <w:rPr>
                <w:rFonts w:ascii="Arial" w:hAnsi="Arial"/>
                <w:b/>
                <w:i w:val="0"/>
                <w:sz w:val="18"/>
              </w:rPr>
              <w:t xml:space="preserve">Orientación. </w:t>
            </w:r>
            <w:r>
              <w:rPr>
                <w:rFonts w:ascii="Arial" w:hAnsi="Arial"/>
                <w:b w:val="0"/>
                <w:i w:val="0"/>
                <w:sz w:val="18"/>
              </w:rPr>
              <w:t>Sin revisión humana obligatoria antes de la ejecución, no hay barrera de seguridad entre la recomendación del sistema y la acción sobre la persona participante — un error llega a la persona participante sin filtro. Cuanto mayor la autonomía decisoria, mayor el riesgo.</w:t>
            </w:r>
          </w:p>
        </w:tc>
      </w:tr>
      <w:tr>
        <w:tc>
          <w:tcPr>
            <w:tcW w:type="dxa" w:w="2608"/>
          </w:tcPr>
          <w:p>
            <w:r>
              <w:rPr>
                <w:rFonts w:ascii="Arial" w:hAnsi="Arial"/>
                <w:b/>
                <w:i w:val="0"/>
                <w:sz w:val="19"/>
              </w:rPr>
              <w:t>1.2</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sistema es adaptativo — aprende o se actualiza con nuevos datos durante la conducción del estudio o después de su finalización?</w:t>
            </w:r>
          </w:p>
          <w:p>
            <w:r>
              <w:rPr>
                <w:rFonts w:ascii="Arial" w:hAnsi="Arial"/>
                <w:b/>
                <w:i w:val="0"/>
                <w:sz w:val="18"/>
              </w:rPr>
              <w:t xml:space="preserve">Orientación. </w:t>
            </w:r>
            <w:r>
              <w:rPr>
                <w:rFonts w:ascii="Arial" w:hAnsi="Arial"/>
                <w:b w:val="0"/>
                <w:i w:val="0"/>
                <w:sz w:val="18"/>
              </w:rPr>
              <w:t>Los sistemas que aprenden o se actualizan durante el estudio pueden cambiar de comportamiento a lo largo del tiempo, generando resultados distintos de los validados al inicio — lo que introduce incertidumbre sobre lo que la persona participante de hecho recibirá. Un sistema adaptativo altera, durante el estudio, el propio objeto sobre el cual la persona participante consintió. El protocolo debe definir un umbral de cambio (de desempeño o de comportamiento del sistema) que, al ser superado, dispara la obtención de nuevo consentimiento y la comunicación al CEP. Sin ese plan, el consentimiento obtenido al inicio pierde validez continua (Ley n.º 14.874/2024 — consentimiento previo; LGPD — autodeterminación informativa). Nota: la verificación abarca actualizaciones, recalibraciones y sustituciones del sistema, durante el estudio o después de su finalización; si el aprendizaje continúa después de la finalización, verificar 5.8/P7.7 (reentrenamiento autorizado) y el plan de nuevo consentimiento (2.10/P2.8).</w:t>
            </w:r>
          </w:p>
        </w:tc>
      </w:tr>
      <w:tr>
        <w:tc>
          <w:tcPr>
            <w:tcW w:type="dxa" w:w="2608"/>
          </w:tcPr>
          <w:p>
            <w:r>
              <w:rPr>
                <w:rFonts w:ascii="Arial" w:hAnsi="Arial"/>
                <w:b/>
                <w:i w:val="0"/>
                <w:sz w:val="19"/>
              </w:rPr>
              <w:t>1.3</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En caso de falla o error del sistema, ¿el daño a la persona participante sería de difícil reversión?</w:t>
            </w:r>
          </w:p>
          <w:p>
            <w:r>
              <w:rPr>
                <w:rFonts w:ascii="Arial" w:hAnsi="Arial"/>
                <w:b/>
                <w:i w:val="0"/>
                <w:sz w:val="18"/>
              </w:rPr>
              <w:t xml:space="preserve">Orientación. </w:t>
            </w:r>
            <w:r>
              <w:rPr>
                <w:rFonts w:ascii="Arial" w:hAnsi="Arial"/>
                <w:b w:val="0"/>
                <w:i w:val="0"/>
                <w:sz w:val="18"/>
              </w:rPr>
              <w:t>Cuando el error del sistema produce un daño de difícil reversión (ej.: conducta quirúrgica indebida), el riesgo es mayor que en daños reparables, porque la corrección posterior no restaura a la persona participante al estado anterior.</w:t>
            </w:r>
          </w:p>
        </w:tc>
      </w:tr>
      <w:tr>
        <w:tc>
          <w:tcPr>
            <w:tcW w:type="dxa" w:w="2608"/>
          </w:tcPr>
          <w:p>
            <w:r>
              <w:rPr>
                <w:rFonts w:ascii="Arial" w:hAnsi="Arial"/>
                <w:b/>
                <w:i w:val="0"/>
                <w:sz w:val="19"/>
              </w:rPr>
              <w:t>1.4</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sistema fue desarrollado y validado fuera del contexto en que será utilizado en este protocolo?</w:t>
            </w:r>
          </w:p>
          <w:p>
            <w:r>
              <w:rPr>
                <w:rFonts w:ascii="Arial" w:hAnsi="Arial"/>
                <w:b/>
                <w:i w:val="0"/>
                <w:sz w:val="18"/>
              </w:rPr>
              <w:t xml:space="preserve">Orientación. </w:t>
            </w:r>
            <w:r>
              <w:rPr>
                <w:rFonts w:ascii="Arial" w:hAnsi="Arial"/>
                <w:b w:val="0"/>
                <w:i w:val="0"/>
                <w:sz w:val="18"/>
              </w:rPr>
              <w:t>Un sistema desarrollado y validado en otro contexto (otra población, otro escenario asistencial) puede no mantener el desempeño en la realidad de este protocolo, generando errores no detectados en la validación original.</w:t>
            </w:r>
          </w:p>
        </w:tc>
      </w:tr>
      <w:tr>
        <w:tc>
          <w:tcPr>
            <w:tcW w:type="dxa" w:w="2608"/>
          </w:tcPr>
          <w:p>
            <w:r>
              <w:rPr>
                <w:rFonts w:ascii="Arial" w:hAnsi="Arial"/>
                <w:b/>
                <w:i w:val="0"/>
                <w:sz w:val="19"/>
              </w:rPr>
              <w:t>1.5</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investigador tiene acceso a la información necesaria para cuestionar la recomendación del sistema?</w:t>
            </w:r>
          </w:p>
          <w:p>
            <w:r>
              <w:rPr>
                <w:rFonts w:ascii="Arial" w:hAnsi="Arial"/>
                <w:b/>
                <w:i w:val="0"/>
                <w:sz w:val="18"/>
              </w:rPr>
              <w:t xml:space="preserve">Orientación. </w:t>
            </w:r>
            <w:r>
              <w:rPr>
                <w:rFonts w:ascii="Arial" w:hAnsi="Arial"/>
                <w:b w:val="0"/>
                <w:i w:val="0"/>
                <w:sz w:val="18"/>
              </w:rPr>
              <w:t>Si el profesional no tiene acceso a la información necesaria para cuestionar la recomendación, la supervisión humana es apenas simbólica — existe en el papel, pero no frena un error. Es la ausencia de ese acceso lo que eleva el riesgo.</w:t>
            </w:r>
          </w:p>
        </w:tc>
      </w:tr>
      <w:tr>
        <w:tc>
          <w:tcPr>
            <w:tcW w:type="dxa" w:w="2608"/>
          </w:tcPr>
          <w:p>
            <w:r>
              <w:rPr>
                <w:rFonts w:ascii="Arial" w:hAnsi="Arial"/>
                <w:b/>
                <w:i w:val="0"/>
                <w:sz w:val="19"/>
              </w:rPr>
              <w:t>1.6</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define claramente qué ocurre cuando la decisión del sistema diverge del juicio humano?</w:t>
            </w:r>
          </w:p>
          <w:p>
            <w:r>
              <w:rPr>
                <w:rFonts w:ascii="Arial" w:hAnsi="Arial"/>
                <w:b/>
                <w:i w:val="0"/>
                <w:sz w:val="18"/>
              </w:rPr>
              <w:t xml:space="preserve">Orientación. </w:t>
            </w:r>
            <w:r>
              <w:rPr>
                <w:rFonts w:ascii="Arial" w:hAnsi="Arial"/>
                <w:b w:val="0"/>
                <w:i w:val="0"/>
                <w:sz w:val="18"/>
              </w:rPr>
              <w:t>Sin una regla definida para cuando la decisión del sistema diverge del juicio humano, se crea una zona gris de responsabilidad que puede retrasar la corrección y perjudicar a la persona participante.</w:t>
            </w:r>
          </w:p>
        </w:tc>
      </w:tr>
      <w:tr>
        <w:tc>
          <w:tcPr>
            <w:tcW w:type="dxa" w:w="2608"/>
          </w:tcPr>
          <w:p>
            <w:r>
              <w:rPr>
                <w:rFonts w:ascii="Arial" w:hAnsi="Arial"/>
                <w:b/>
                <w:i w:val="0"/>
                <w:sz w:val="19"/>
              </w:rPr>
              <w:t>1.7</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sistema es explicable — es posible comprender por qué llegó a determinado resultado?</w:t>
            </w:r>
          </w:p>
          <w:p>
            <w:r>
              <w:rPr>
                <w:rFonts w:ascii="Arial" w:hAnsi="Arial"/>
                <w:b/>
                <w:i w:val="0"/>
                <w:sz w:val="18"/>
              </w:rPr>
              <w:t xml:space="preserve">Orientación. </w:t>
            </w:r>
            <w:r>
              <w:rPr>
                <w:rFonts w:ascii="Arial" w:hAnsi="Arial"/>
                <w:b w:val="0"/>
                <w:i w:val="0"/>
                <w:sz w:val="18"/>
              </w:rPr>
              <w:t>Los sistemas opacos (caja negra) dificultan identificar sesgos y errores y atribuir responsabilidad. La falta de explicabilidad reduce la capacidad de supervisión — es lo que caracteriza el riesgo aquí.</w:t>
            </w:r>
          </w:p>
        </w:tc>
      </w:tr>
      <w:tr>
        <w:tc>
          <w:tcPr>
            <w:tcW w:type="dxa" w:w="2608"/>
          </w:tcPr>
          <w:p>
            <w:r>
              <w:rPr>
                <w:rFonts w:ascii="Arial" w:hAnsi="Arial"/>
                <w:b/>
                <w:i w:val="0"/>
                <w:sz w:val="19"/>
              </w:rPr>
              <w:t>1.8</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sistema fue sometido a pruebas de desempeño documentadas antes del uso en el protocolo?</w:t>
            </w:r>
          </w:p>
          <w:p>
            <w:r>
              <w:rPr>
                <w:rFonts w:ascii="Arial" w:hAnsi="Arial"/>
                <w:b/>
                <w:i w:val="0"/>
                <w:sz w:val="18"/>
              </w:rPr>
              <w:t xml:space="preserve">Orientación. </w:t>
            </w:r>
            <w:r>
              <w:rPr>
                <w:rFonts w:ascii="Arial" w:hAnsi="Arial"/>
                <w:b w:val="0"/>
                <w:i w:val="0"/>
                <w:sz w:val="18"/>
              </w:rPr>
              <w:t>Sin pruebas de desempeño documentadas antes del uso, no hay evidencia de que el sistema sea seguro y eficaz en el contexto propuesto; el protocolo pasa a depender de un desempeño presumido, no demostrado.</w:t>
            </w:r>
          </w:p>
        </w:tc>
      </w:tr>
    </w:tbl>
    <w:p>
      <w:pPr>
        <w:spacing w:before="200" w:after="80"/>
      </w:pPr>
      <w:r>
        <w:rPr>
          <w:rFonts w:ascii="Arial" w:hAnsi="Arial"/>
          <w:b/>
          <w:i w:val="0"/>
          <w:color w:val="0F766E"/>
          <w:sz w:val="25"/>
        </w:rPr>
        <w:t>Eje 2: Impacto sobre la Persona Participante</w:t>
      </w:r>
    </w:p>
    <w:p>
      <w:pPr>
        <w:spacing w:after="120"/>
      </w:pPr>
      <w:r>
        <w:rPr>
          <w:rFonts w:ascii="Arial" w:hAnsi="Arial"/>
          <w:b w:val="0"/>
          <w:i w:val="0"/>
          <w:color w:val="555555"/>
          <w:sz w:val="19"/>
        </w:rPr>
        <w:t>Evalúa los potenciales daños físicos, psíquicos, sociales y económicos a la persona participante, así como la protección de poblaciones vulnerables.</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2.1</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sistema influye directamente en decisiones clínicas o terapéuticas sobre la persona participante?</w:t>
            </w:r>
          </w:p>
          <w:p>
            <w:r>
              <w:rPr>
                <w:rFonts w:ascii="Arial" w:hAnsi="Arial"/>
                <w:b/>
                <w:i w:val="0"/>
                <w:sz w:val="18"/>
              </w:rPr>
              <w:t xml:space="preserve">Orientación. </w:t>
            </w:r>
            <w:r>
              <w:rPr>
                <w:rFonts w:ascii="Arial" w:hAnsi="Arial"/>
                <w:b w:val="0"/>
                <w:i w:val="0"/>
                <w:sz w:val="18"/>
              </w:rPr>
              <w:t>Cuando el sistema influye directamente en decisiones clínicas o terapéuticas, un error se traduce en una conducta inadecuada sobre la persona participante — el impacto potencial sobre la persona es mayor.</w:t>
            </w:r>
          </w:p>
        </w:tc>
      </w:tr>
      <w:tr>
        <w:tc>
          <w:tcPr>
            <w:tcW w:type="dxa" w:w="2608"/>
          </w:tcPr>
          <w:p>
            <w:r>
              <w:rPr>
                <w:rFonts w:ascii="Arial" w:hAnsi="Arial"/>
                <w:b/>
                <w:i w:val="0"/>
                <w:sz w:val="19"/>
              </w:rPr>
              <w:t>2.2</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sistema puede causar daño físico a la persona participante en caso de error?</w:t>
            </w:r>
          </w:p>
          <w:p>
            <w:r>
              <w:rPr>
                <w:rFonts w:ascii="Arial" w:hAnsi="Arial"/>
                <w:b/>
                <w:i w:val="0"/>
                <w:sz w:val="18"/>
              </w:rPr>
              <w:t xml:space="preserve">Orientación. </w:t>
            </w:r>
            <w:r>
              <w:rPr>
                <w:rFonts w:ascii="Arial" w:hAnsi="Arial"/>
                <w:b w:val="0"/>
                <w:i w:val="0"/>
                <w:sz w:val="18"/>
              </w:rPr>
              <w:t>La posibilidad de daño físico en caso de error es la forma más grave de impacto y exige mecanismos robustos de seguridad y supervisión.</w:t>
            </w:r>
          </w:p>
        </w:tc>
      </w:tr>
      <w:tr>
        <w:tc>
          <w:tcPr>
            <w:tcW w:type="dxa" w:w="2608"/>
          </w:tcPr>
          <w:p>
            <w:r>
              <w:rPr>
                <w:rFonts w:ascii="Arial" w:hAnsi="Arial"/>
                <w:b/>
                <w:i w:val="0"/>
                <w:sz w:val="19"/>
              </w:rPr>
              <w:t>2.3</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sistema puede causar daño psíquico, social o económico a la persona participante en caso de error?</w:t>
            </w:r>
          </w:p>
          <w:p>
            <w:r>
              <w:rPr>
                <w:rFonts w:ascii="Arial" w:hAnsi="Arial"/>
                <w:b/>
                <w:i w:val="0"/>
                <w:sz w:val="18"/>
              </w:rPr>
              <w:t xml:space="preserve">Orientación. </w:t>
            </w:r>
            <w:r>
              <w:rPr>
                <w:rFonts w:ascii="Arial" w:hAnsi="Arial"/>
                <w:b w:val="0"/>
                <w:i w:val="0"/>
                <w:sz w:val="18"/>
              </w:rPr>
              <w:t>Los daños no físicos — psíquicos, sociales o económicos — también son éticamente relevantes, sobre todo cuando afectan la vida social, el empleo o los ingresos de la persona participante.</w:t>
            </w:r>
          </w:p>
        </w:tc>
      </w:tr>
      <w:tr>
        <w:tc>
          <w:tcPr>
            <w:tcW w:type="dxa" w:w="2608"/>
          </w:tcPr>
          <w:p>
            <w:r>
              <w:rPr>
                <w:rFonts w:ascii="Arial" w:hAnsi="Arial"/>
                <w:b/>
                <w:i w:val="0"/>
                <w:sz w:val="19"/>
              </w:rPr>
              <w:t>2.4</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protocolo involucra poblaciones vulnerables: niños, gestantes, personas mayores, personas con discapacidad, pueblos indígenas o comunidades en situación de vulnerabilidad socioeconómica?</w:t>
            </w:r>
          </w:p>
          <w:p>
            <w:r>
              <w:rPr>
                <w:rFonts w:ascii="Arial" w:hAnsi="Arial"/>
                <w:b/>
                <w:i w:val="0"/>
                <w:sz w:val="18"/>
              </w:rPr>
              <w:t xml:space="preserve">Orientación. </w:t>
            </w:r>
            <w:r>
              <w:rPr>
                <w:rFonts w:ascii="Arial" w:hAnsi="Arial"/>
                <w:b w:val="0"/>
                <w:i w:val="0"/>
                <w:sz w:val="18"/>
              </w:rPr>
              <w:t>Las poblaciones vulnerables (niños, gestantes, personas mayores, personas con discapacidad, pueblos indígenas, vulnerabilidad socioeconómica) exigen protección adicional, pues pueden tener menor capacidad de comprender riesgos o de cuestionar decisiones.</w:t>
            </w:r>
          </w:p>
        </w:tc>
      </w:tr>
      <w:tr>
        <w:tc>
          <w:tcPr>
            <w:tcW w:type="dxa" w:w="2608"/>
          </w:tcPr>
          <w:p>
            <w:r>
              <w:rPr>
                <w:rFonts w:ascii="Arial" w:hAnsi="Arial"/>
                <w:b/>
                <w:i w:val="0"/>
                <w:sz w:val="19"/>
              </w:rPr>
              <w:t>2.5</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sistema infiere características sensibles de la persona participante: raza/color, etnia, condición de salud, orientación sexual, que no fueron explícitamente recolectadas?</w:t>
            </w:r>
          </w:p>
          <w:p>
            <w:r>
              <w:rPr>
                <w:rFonts w:ascii="Arial" w:hAnsi="Arial"/>
                <w:b/>
                <w:i w:val="0"/>
                <w:sz w:val="18"/>
              </w:rPr>
              <w:t xml:space="preserve">Orientación. </w:t>
            </w:r>
            <w:r>
              <w:rPr>
                <w:rFonts w:ascii="Arial" w:hAnsi="Arial"/>
                <w:b w:val="0"/>
                <w:i w:val="0"/>
                <w:sz w:val="18"/>
              </w:rPr>
              <w:t>Inferir características sensibles (raza/color, etnia, salud, orientación sexual) que no fueron explícitamente recolectadas contraría la autonomía informativa de la persona participante y puede generar discriminación.</w:t>
            </w:r>
          </w:p>
        </w:tc>
      </w:tr>
      <w:tr>
        <w:tc>
          <w:tcPr>
            <w:tcW w:type="dxa" w:w="2608"/>
          </w:tcPr>
          <w:p>
            <w:r>
              <w:rPr>
                <w:rFonts w:ascii="Arial" w:hAnsi="Arial"/>
                <w:b/>
                <w:i w:val="0"/>
                <w:sz w:val="19"/>
              </w:rPr>
              <w:t>2.6</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¿Los efectos de un error del sistema sobre la persona participante son reversibles?</w:t>
            </w:r>
          </w:p>
          <w:p>
            <w:r>
              <w:rPr>
                <w:rFonts w:ascii="Arial" w:hAnsi="Arial"/>
                <w:b/>
                <w:i w:val="0"/>
                <w:sz w:val="18"/>
              </w:rPr>
              <w:t xml:space="preserve">Orientación. </w:t>
            </w:r>
            <w:r>
              <w:rPr>
                <w:rFonts w:ascii="Arial" w:hAnsi="Arial"/>
                <w:b w:val="0"/>
                <w:i w:val="0"/>
                <w:sz w:val="18"/>
              </w:rPr>
              <w:t>La pregunta verifica la reversibilidad: cuando los efectos de un error NO son reversibles, el riesgo aumenta de forma significativa, pues no hay reparación integral posible.</w:t>
            </w:r>
          </w:p>
        </w:tc>
      </w:tr>
      <w:tr>
        <w:tc>
          <w:tcPr>
            <w:tcW w:type="dxa" w:w="2608"/>
          </w:tcPr>
          <w:p>
            <w:r>
              <w:rPr>
                <w:rFonts w:ascii="Arial" w:hAnsi="Arial"/>
                <w:b/>
                <w:i w:val="0"/>
                <w:sz w:val="19"/>
              </w:rPr>
              <w:t>2.7</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TCLE informa a la persona participante, de forma comprensible, que un sistema de IA será utilizado en el protocolo y cuál es su papel?</w:t>
            </w:r>
          </w:p>
          <w:p>
            <w:r>
              <w:rPr>
                <w:rFonts w:ascii="Arial" w:hAnsi="Arial"/>
                <w:b/>
                <w:i w:val="0"/>
                <w:sz w:val="18"/>
              </w:rPr>
              <w:t xml:space="preserve">Orientación. </w:t>
            </w:r>
            <w:r>
              <w:rPr>
                <w:rFonts w:ascii="Arial" w:hAnsi="Arial"/>
                <w:b w:val="0"/>
                <w:i w:val="0"/>
                <w:sz w:val="18"/>
              </w:rPr>
              <w:t>Si el TCLE no informa, de forma comprensible, que un sistema de IA será usado y cuál es su papel, se viola la transparencia y la autonomía — la persona participante consiente sin saber a qué está consintiendo.</w:t>
            </w:r>
          </w:p>
        </w:tc>
      </w:tr>
      <w:tr>
        <w:tc>
          <w:tcPr>
            <w:tcW w:type="dxa" w:w="2608"/>
          </w:tcPr>
          <w:p>
            <w:r>
              <w:rPr>
                <w:rFonts w:ascii="Arial" w:hAnsi="Arial"/>
                <w:b/>
                <w:i w:val="0"/>
                <w:sz w:val="19"/>
              </w:rPr>
              <w:t>2.8</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prevé un mecanismo para que la persona participante retire el consentimiento, con exclusión de sus datos de las bases del estudio y garantía de no utilización en entrenamientos o reentrenamientos futuros?</w:t>
            </w:r>
          </w:p>
          <w:p>
            <w:r>
              <w:rPr>
                <w:rFonts w:ascii="Arial" w:hAnsi="Arial"/>
                <w:b/>
                <w:i w:val="0"/>
                <w:sz w:val="18"/>
              </w:rPr>
              <w:t xml:space="preserve">Orientación. </w:t>
            </w:r>
            <w:r>
              <w:rPr>
                <w:rFonts w:ascii="Arial" w:hAnsi="Arial"/>
                <w:b w:val="0"/>
                <w:i w:val="0"/>
                <w:sz w:val="18"/>
              </w:rPr>
              <w:t>La retirada del consentimiento es un derecho de la persona participante (Ley n.º 14.874/2024; LGPD, art. 8.º, §5.º, y art. 18). En modelos ya entrenados, la remoción retroactiva de la influencia de un dato específico tiene límites técnicos: el modelo no almacena los datos, sino pesos estadísticos aprendidos, y las técnicas de desaprendizaje automático aún son incipientes. Por ello, el protocolo debe garantizar tres compromisos verificables: (1) exclusión de los datos de la persona participante de las bases del estudio y bloqueo de su uso en cualquier entrenamiento o reentrenamiento futuro; (2) declaración clara de esos límites técnicos en el TCLE, en lenguaje comprensible; (3) salvaguardas de no memorización — curaduría y minimización de los datos antes del entrenamiento y pruebas documentadas de que el modelo no reproduce ni filtra datos de participantes. La ausencia de un mecanismo con esos tres compromisos configura riesgo.</w:t>
            </w:r>
          </w:p>
        </w:tc>
      </w:tr>
      <w:tr>
        <w:tc>
          <w:tcPr>
            <w:tcW w:type="dxa" w:w="2608"/>
          </w:tcPr>
          <w:p>
            <w:r>
              <w:rPr>
                <w:rFonts w:ascii="Arial" w:hAnsi="Arial"/>
                <w:b/>
                <w:i w:val="0"/>
                <w:sz w:val="19"/>
              </w:rPr>
              <w:t>2.9</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describe cómo los resultados generados por la IA serán comunicados a la persona participante, cuando corresponda?</w:t>
            </w:r>
          </w:p>
          <w:p>
            <w:r>
              <w:rPr>
                <w:rFonts w:ascii="Arial" w:hAnsi="Arial"/>
                <w:b/>
                <w:i w:val="0"/>
                <w:sz w:val="18"/>
              </w:rPr>
              <w:t xml:space="preserve">Orientación. </w:t>
            </w:r>
            <w:r>
              <w:rPr>
                <w:rFonts w:ascii="Arial" w:hAnsi="Arial"/>
                <w:b w:val="0"/>
                <w:i w:val="0"/>
                <w:sz w:val="18"/>
              </w:rPr>
              <w:t>La ausencia de descripción sobre cómo los resultados de la IA serán comunicados a la persona participante compromete la transparencia y el ejercicio de la autonomía. Incluye el derecho de la persona participante a la devolución de los resultados de la investigación y a la información sobre eventual repercusión en su condición de salud, cuando corresponda (LGPD; Ley n.º 14.874/2024).</w:t>
            </w:r>
          </w:p>
        </w:tc>
      </w:tr>
      <w:tr>
        <w:tc>
          <w:tcPr>
            <w:tcW w:type="dxa" w:w="2608"/>
          </w:tcPr>
          <w:p>
            <w:r>
              <w:rPr>
                <w:rFonts w:ascii="Arial" w:hAnsi="Arial"/>
                <w:b/>
                <w:i w:val="0"/>
                <w:sz w:val="19"/>
              </w:rPr>
              <w:t>2.10</w:t>
            </w:r>
          </w:p>
          <w:p>
            <w:r>
              <w:rPr>
                <w:rFonts w:ascii="Arial" w:hAnsi="Arial"/>
                <w:b w:val="0"/>
                <w:i w:val="0"/>
                <w:sz w:val="17"/>
              </w:rPr>
              <w:t xml:space="preserve">Respuesta de riesgo: </w:t>
            </w:r>
            <w:r>
              <w:rPr>
                <w:rFonts w:ascii="Arial" w:hAnsi="Arial"/>
                <w:b/>
                <w:i w:val="0"/>
                <w:sz w:val="17"/>
              </w:rPr>
              <w:t>No</w:t>
            </w:r>
          </w:p>
          <w:p>
            <w:r>
              <w:rPr>
                <w:rFonts w:ascii="Arial" w:hAnsi="Arial"/>
                <w:b w:val="0"/>
                <w:i/>
                <w:color w:val="555555"/>
                <w:sz w:val="16"/>
              </w:rPr>
              <w:t>ELIMINATORIA</w:t>
            </w:r>
          </w:p>
          <w:p>
            <w:r>
              <w:rPr>
                <w:rFonts w:ascii="Arial" w:hAnsi="Arial"/>
                <w:b w:val="0"/>
                <w:i/>
                <w:color w:val="555555"/>
                <w:sz w:val="16"/>
              </w:rPr>
              <w:t>Diligencia (devolución)</w:t>
            </w:r>
          </w:p>
          <w:p>
            <w:r>
              <w:rPr>
                <w:rFonts w:ascii="Arial" w:hAnsi="Arial"/>
                <w:b w:val="0"/>
                <w:i/>
                <w:color w:val="555555"/>
                <w:sz w:val="16"/>
              </w:rPr>
              <w:t>admite «No se aplica»</w:t>
            </w:r>
          </w:p>
        </w:tc>
        <w:tc>
          <w:tcPr>
            <w:tcW w:type="dxa" w:w="7030"/>
          </w:tcPr>
          <w:p>
            <w:r>
              <w:rPr>
                <w:rFonts w:ascii="Arial" w:hAnsi="Arial"/>
                <w:b/>
                <w:i w:val="0"/>
                <w:sz w:val="19"/>
              </w:rPr>
              <w:t>Si el sistema es adaptativo (1.2 = Sí): ¿el protocolo presenta un plan de nuevo consentimiento — con umbral definido, procedimiento y responsable — para el caso de que el sistema se actualice o cambie de comportamiento durante el estudio?</w:t>
            </w:r>
          </w:p>
          <w:p>
            <w:r>
              <w:rPr>
                <w:rFonts w:ascii="Arial" w:hAnsi="Arial"/>
                <w:b/>
                <w:i w:val="0"/>
                <w:sz w:val="18"/>
              </w:rPr>
              <w:t xml:space="preserve">Orientación. </w:t>
            </w:r>
            <w:r>
              <w:rPr>
                <w:rFonts w:ascii="Arial" w:hAnsi="Arial"/>
                <w:b w:val="0"/>
                <w:i w:val="0"/>
                <w:sz w:val="18"/>
              </w:rPr>
              <w:t>Un sistema adaptativo es aquel que continúa aprendiendo o cambia de comportamiento durante el estudio — por ejemplo, un modelo que se reajusta con nuevos datos (aprendizaje continuo), en vez de permanecer «congelado» tras la validación. Por qué nuevo consentimiento: la persona participante consintió con un sistema que funcionaba de cierto modo; si cambia de forma relevante, cambian los riesgos y la propia naturaleza de lo que se aceptó — entonces la autonomía exige informarla y obtener nuevo consentimiento. Por eso se pide un plan con umbral de cambio definido, procedimiento y responsable. Ítem de diligencia con efecto impeditivo: NO altera la puntuación del Eje 2 (no eleva el nivel), pero la ausencia del plan bloquea el dictamen — protocolo no evaluable en el mérito —, en convergencia con la P2.8 de la Versión B. Aplicable cuando el sistema es adaptativo (1.2 = Sí); marque «No se aplica» cuando 1.2 = No. La obtención de nuevo consentimiento es una exigencia legal (Ley n.º 14.874/2024 — consentimiento previo; LGPD — autodeterminación informativa) y, por ello, no es compensable por puntos.</w:t>
            </w:r>
          </w:p>
        </w:tc>
      </w:tr>
      <w:tr>
        <w:tc>
          <w:tcPr>
            <w:tcW w:type="dxa" w:w="2608"/>
          </w:tcPr>
          <w:p>
            <w:r>
              <w:rPr>
                <w:rFonts w:ascii="Arial" w:hAnsi="Arial"/>
                <w:b/>
                <w:i w:val="0"/>
                <w:sz w:val="19"/>
              </w:rPr>
              <w:t>2.11</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¿Los resultados de la investigación pueden generar estigmatización de grupos o poblaciones?</w:t>
            </w:r>
          </w:p>
          <w:p>
            <w:r>
              <w:rPr>
                <w:rFonts w:ascii="Arial" w:hAnsi="Arial"/>
                <w:b/>
                <w:i w:val="0"/>
                <w:sz w:val="18"/>
              </w:rPr>
              <w:t xml:space="preserve">Orientación. </w:t>
            </w:r>
            <w:r>
              <w:rPr>
                <w:rFonts w:ascii="Arial" w:hAnsi="Arial"/>
                <w:b w:val="0"/>
                <w:i w:val="0"/>
                <w:sz w:val="18"/>
              </w:rPr>
              <w:t>Evaluar el daño incluso sin identificación individual: la estigmatización deriva de la atribución de características al grupo.</w:t>
            </w:r>
          </w:p>
        </w:tc>
      </w:tr>
      <w:tr>
        <w:tc>
          <w:tcPr>
            <w:tcW w:type="dxa" w:w="2608"/>
          </w:tcPr>
          <w:p>
            <w:r>
              <w:rPr>
                <w:rFonts w:ascii="Arial" w:hAnsi="Arial"/>
                <w:b/>
                <w:i w:val="0"/>
                <w:sz w:val="19"/>
              </w:rPr>
              <w:t>2.12</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¿Hay riesgo de discriminación de individuos o grupos como consecuencia del uso de los resultados producidos por el sistema?</w:t>
            </w:r>
          </w:p>
          <w:p>
            <w:r>
              <w:rPr>
                <w:rFonts w:ascii="Arial" w:hAnsi="Arial"/>
                <w:b/>
                <w:i w:val="0"/>
                <w:sz w:val="18"/>
              </w:rPr>
              <w:t xml:space="preserve">Orientación. </w:t>
            </w:r>
            <w:r>
              <w:rPr>
                <w:rFonts w:ascii="Arial" w:hAnsi="Arial"/>
                <w:b w:val="0"/>
                <w:i w:val="0"/>
                <w:sz w:val="18"/>
              </w:rPr>
              <w:t>Distinguir de 4.3/P3.6: la equidad mide el desempeño desigual del modelo; esta pregunta mide el daño discriminatorio derivado del uso.</w:t>
            </w:r>
          </w:p>
        </w:tc>
      </w:tr>
    </w:tbl>
    <w:p>
      <w:pPr>
        <w:spacing w:before="200" w:after="80"/>
      </w:pPr>
      <w:r>
        <w:rPr>
          <w:rFonts w:ascii="Arial" w:hAnsi="Arial"/>
          <w:b/>
          <w:i w:val="0"/>
          <w:color w:val="0F766E"/>
          <w:sz w:val="25"/>
        </w:rPr>
        <w:t>Eje 3: Sensibilidad y Gobernanza de los Datos</w:t>
      </w:r>
    </w:p>
    <w:p>
      <w:pPr>
        <w:spacing w:after="120"/>
      </w:pPr>
      <w:r>
        <w:rPr>
          <w:rFonts w:ascii="Arial" w:hAnsi="Arial"/>
          <w:b w:val="0"/>
          <w:i w:val="0"/>
          <w:color w:val="555555"/>
          <w:sz w:val="19"/>
        </w:rPr>
        <w:t>Evalúa el grado de sensibilidad de los datos procesados, la conformidad con la LGPD y los mecanismos de protección de datos.</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3.1</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sistema procesa datos personales sensibles: salud (incluida la salud mental), genética, biometría, datos de localización, raza, etnia, religión, vida sexual?</w:t>
            </w:r>
          </w:p>
          <w:p>
            <w:r>
              <w:rPr>
                <w:rFonts w:ascii="Arial" w:hAnsi="Arial"/>
                <w:b/>
                <w:i w:val="0"/>
                <w:sz w:val="18"/>
              </w:rPr>
              <w:t xml:space="preserve">Orientación. </w:t>
            </w:r>
            <w:r>
              <w:rPr>
                <w:rFonts w:ascii="Arial" w:hAnsi="Arial"/>
                <w:b w:val="0"/>
                <w:i w:val="0"/>
                <w:sz w:val="18"/>
              </w:rPr>
              <w:t>El procesamiento de datos personales sensibles (salud, genética, biometría, raza/color, etnia, religión, vida sexual) exige protección reforzada y base legal específica en la LGPD; el riesgo para la privacidad es inherentemente mayor.</w:t>
            </w:r>
          </w:p>
        </w:tc>
      </w:tr>
      <w:tr>
        <w:tc>
          <w:tcPr>
            <w:tcW w:type="dxa" w:w="2608"/>
          </w:tcPr>
          <w:p>
            <w:r>
              <w:rPr>
                <w:rFonts w:ascii="Arial" w:hAnsi="Arial"/>
                <w:b/>
                <w:i w:val="0"/>
                <w:sz w:val="19"/>
              </w:rPr>
              <w:t>3.2</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¿Los datos son transferidos o procesados en servidores fuera de Brasil?</w:t>
            </w:r>
          </w:p>
          <w:p>
            <w:r>
              <w:rPr>
                <w:rFonts w:ascii="Arial" w:hAnsi="Arial"/>
                <w:b/>
                <w:i w:val="0"/>
                <w:sz w:val="18"/>
              </w:rPr>
              <w:t xml:space="preserve">Orientación. </w:t>
            </w:r>
            <w:r>
              <w:rPr>
                <w:rFonts w:ascii="Arial" w:hAnsi="Arial"/>
                <w:b w:val="0"/>
                <w:i w:val="0"/>
                <w:sz w:val="18"/>
              </w:rPr>
              <w:t>Transferir o procesar datos en servidores fuera de Brasil exige evaluar la adecuación del país de destino y adoptar salvaguardas adicionales, pues reduce la gobernanza nacional sobre los datos.</w:t>
            </w:r>
          </w:p>
        </w:tc>
      </w:tr>
      <w:tr>
        <w:tc>
          <w:tcPr>
            <w:tcW w:type="dxa" w:w="2608"/>
          </w:tcPr>
          <w:p>
            <w:r>
              <w:rPr>
                <w:rFonts w:ascii="Arial" w:hAnsi="Arial"/>
                <w:b/>
                <w:i w:val="0"/>
                <w:sz w:val="19"/>
              </w:rPr>
              <w:t>3.3</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consentimiento obtenido cubre explícitamente el uso de los datos para entrenamiento o reentrenamiento de modelos de IA?</w:t>
            </w:r>
          </w:p>
          <w:p>
            <w:r>
              <w:rPr>
                <w:rFonts w:ascii="Arial" w:hAnsi="Arial"/>
                <w:b/>
                <w:i w:val="0"/>
                <w:sz w:val="18"/>
              </w:rPr>
              <w:t xml:space="preserve">Orientación. </w:t>
            </w:r>
            <w:r>
              <w:rPr>
                <w:rFonts w:ascii="Arial" w:hAnsi="Arial"/>
                <w:b w:val="0"/>
                <w:i w:val="0"/>
                <w:sz w:val="18"/>
              </w:rPr>
              <w:t>El consentimiento genérico no basta para entrenar o reentrenar modelos: se requiere consentimiento específico e informado para ese uso. Su ausencia es lo que configura el riesgo.</w:t>
            </w:r>
          </w:p>
        </w:tc>
      </w:tr>
      <w:tr>
        <w:tc>
          <w:tcPr>
            <w:tcW w:type="dxa" w:w="2608"/>
          </w:tcPr>
          <w:p>
            <w:r>
              <w:rPr>
                <w:rFonts w:ascii="Arial" w:hAnsi="Arial"/>
                <w:b/>
                <w:i w:val="0"/>
                <w:sz w:val="19"/>
              </w:rPr>
              <w:t>3.4</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demuestra conformidad con la LGPD: base legal identificada, finalidad declarada, Encargado de Datos (DPO) indicado?</w:t>
            </w:r>
          </w:p>
          <w:p>
            <w:r>
              <w:rPr>
                <w:rFonts w:ascii="Arial" w:hAnsi="Arial"/>
                <w:b/>
                <w:i w:val="0"/>
                <w:sz w:val="18"/>
              </w:rPr>
              <w:t xml:space="preserve">Orientación. </w:t>
            </w:r>
            <w:r>
              <w:rPr>
                <w:rFonts w:ascii="Arial" w:hAnsi="Arial"/>
                <w:b w:val="0"/>
                <w:i w:val="0"/>
                <w:sz w:val="18"/>
              </w:rPr>
              <w:t>Sin base legal identificada, finalidad declarada y Encargado (DPO) indicado, el protocolo no demuestra conformidad con la LGPD, exponiendo a las personas participantes y a la institución a riesgos legales y éticos.</w:t>
            </w:r>
          </w:p>
        </w:tc>
      </w:tr>
      <w:tr>
        <w:tc>
          <w:tcPr>
            <w:tcW w:type="dxa" w:w="2608"/>
          </w:tcPr>
          <w:p>
            <w:r>
              <w:rPr>
                <w:rFonts w:ascii="Arial" w:hAnsi="Arial"/>
                <w:b/>
                <w:i w:val="0"/>
                <w:sz w:val="19"/>
              </w:rPr>
              <w:t>3.5</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¿Existe riesgo real de reidentificación de las personas participantes a partir de los datos utilizados o generados por el sistema?</w:t>
            </w:r>
          </w:p>
          <w:p>
            <w:r>
              <w:rPr>
                <w:rFonts w:ascii="Arial" w:hAnsi="Arial"/>
                <w:b/>
                <w:i w:val="0"/>
                <w:sz w:val="18"/>
              </w:rPr>
              <w:t xml:space="preserve">Orientación. </w:t>
            </w:r>
            <w:r>
              <w:rPr>
                <w:rFonts w:ascii="Arial" w:hAnsi="Arial"/>
                <w:b w:val="0"/>
                <w:i w:val="0"/>
                <w:sz w:val="18"/>
              </w:rPr>
              <w:t>Cuando hay riesgo real de reidentificación a partir de los datos usados o generados, la promesa de anonimato queda comprometida y los daños potenciales a la privacidad aumentan.</w:t>
            </w:r>
          </w:p>
        </w:tc>
      </w:tr>
      <w:tr>
        <w:tc>
          <w:tcPr>
            <w:tcW w:type="dxa" w:w="2608"/>
          </w:tcPr>
          <w:p>
            <w:r>
              <w:rPr>
                <w:rFonts w:ascii="Arial" w:hAnsi="Arial"/>
                <w:b/>
                <w:i w:val="0"/>
                <w:sz w:val="19"/>
              </w:rPr>
              <w:t>3.6</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prevé un plan de respuesta a incidentes de seguridad que involucren los datos procesados por la IA?</w:t>
            </w:r>
          </w:p>
          <w:p>
            <w:r>
              <w:rPr>
                <w:rFonts w:ascii="Arial" w:hAnsi="Arial"/>
                <w:b/>
                <w:i w:val="0"/>
                <w:sz w:val="18"/>
              </w:rPr>
              <w:t xml:space="preserve">Orientación. </w:t>
            </w:r>
            <w:r>
              <w:rPr>
                <w:rFonts w:ascii="Arial" w:hAnsi="Arial"/>
                <w:b w:val="0"/>
                <w:i w:val="0"/>
                <w:sz w:val="18"/>
              </w:rPr>
              <w:t>Sin un plan de respuesta a incidentes de seguridad, una filtración o un acceso indebido puede no ser contenido a tiempo, agravando los daños a las personas participantes.</w:t>
            </w:r>
          </w:p>
        </w:tc>
      </w:tr>
      <w:tr>
        <w:tc>
          <w:tcPr>
            <w:tcW w:type="dxa" w:w="2608"/>
          </w:tcPr>
          <w:p>
            <w:r>
              <w:rPr>
                <w:rFonts w:ascii="Arial" w:hAnsi="Arial"/>
                <w:b/>
                <w:i w:val="0"/>
                <w:sz w:val="19"/>
              </w:rPr>
              <w:t>3.7</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¿Los datos de entrenamiento del modelo fueron recolectados con un consentimiento compatible con el uso previsto en este protocolo?</w:t>
            </w:r>
          </w:p>
          <w:p>
            <w:r>
              <w:rPr>
                <w:rFonts w:ascii="Arial" w:hAnsi="Arial"/>
                <w:b/>
                <w:i w:val="0"/>
                <w:sz w:val="18"/>
              </w:rPr>
              <w:t xml:space="preserve">Orientación. </w:t>
            </w:r>
            <w:r>
              <w:rPr>
                <w:rFonts w:ascii="Arial" w:hAnsi="Arial"/>
                <w:b w:val="0"/>
                <w:i w:val="0"/>
                <w:sz w:val="18"/>
              </w:rPr>
              <w:t>Si los datos de entrenamiento fueron recolectados para otra finalidad, pueden no tener base legal para su uso en IA en este protocolo, caracterizando un uso secundario inadecuado.</w:t>
            </w:r>
          </w:p>
        </w:tc>
      </w:tr>
      <w:tr>
        <w:tc>
          <w:tcPr>
            <w:tcW w:type="dxa" w:w="2608"/>
          </w:tcPr>
          <w:p>
            <w:r>
              <w:rPr>
                <w:rFonts w:ascii="Arial" w:hAnsi="Arial"/>
                <w:b/>
                <w:i w:val="0"/>
                <w:sz w:val="19"/>
              </w:rPr>
              <w:t>3.8</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describe cómo se almacenarán los datos, por cuánto tiempo y cómo se eliminarán al final del estudio?</w:t>
            </w:r>
          </w:p>
          <w:p>
            <w:r>
              <w:rPr>
                <w:rFonts w:ascii="Arial" w:hAnsi="Arial"/>
                <w:b/>
                <w:i w:val="0"/>
                <w:sz w:val="18"/>
              </w:rPr>
              <w:t xml:space="preserve">Orientación. </w:t>
            </w:r>
            <w:r>
              <w:rPr>
                <w:rFonts w:ascii="Arial" w:hAnsi="Arial"/>
                <w:b w:val="0"/>
                <w:i w:val="0"/>
                <w:sz w:val="18"/>
              </w:rPr>
              <w:t>La ausencia de una política de almacenamiento, retención y eliminación abre espacio para el uso indebido de los datos después de finalizado el estudio.</w:t>
            </w:r>
          </w:p>
        </w:tc>
      </w:tr>
      <w:tr>
        <w:tc>
          <w:tcPr>
            <w:tcW w:type="dxa" w:w="2608"/>
          </w:tcPr>
          <w:p>
            <w:r>
              <w:rPr>
                <w:rFonts w:ascii="Arial" w:hAnsi="Arial"/>
                <w:b/>
                <w:i w:val="0"/>
                <w:sz w:val="19"/>
              </w:rPr>
              <w:t>3.9</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restringe el acceso a los datos identificables a lo estrictamente necesario, con control de acceso por perfil e identificación de los responsables?</w:t>
            </w:r>
          </w:p>
          <w:p>
            <w:r>
              <w:rPr>
                <w:rFonts w:ascii="Arial" w:hAnsi="Arial"/>
                <w:b/>
                <w:i w:val="0"/>
                <w:sz w:val="18"/>
              </w:rPr>
              <w:t xml:space="preserve">Orientación. </w:t>
            </w:r>
            <w:r>
              <w:rPr>
                <w:rFonts w:ascii="Arial" w:hAnsi="Arial"/>
                <w:b w:val="0"/>
                <w:i w:val="0"/>
                <w:sz w:val="18"/>
              </w:rPr>
              <w:t>La respuesta debe indicar quién accede, con qué perfil y bajo qué registro.</w:t>
            </w:r>
          </w:p>
        </w:tc>
      </w:tr>
      <w:tr>
        <w:tc>
          <w:tcPr>
            <w:tcW w:type="dxa" w:w="2608"/>
          </w:tcPr>
          <w:p>
            <w:r>
              <w:rPr>
                <w:rFonts w:ascii="Arial" w:hAnsi="Arial"/>
                <w:b/>
                <w:i w:val="0"/>
                <w:sz w:val="19"/>
              </w:rPr>
              <w:t>3.10</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prevé un registro (log) auditable de las operaciones de tratamiento de datos y de inferencia realizadas por el sistema?</w:t>
            </w:r>
          </w:p>
          <w:p>
            <w:r>
              <w:rPr>
                <w:rFonts w:ascii="Arial" w:hAnsi="Arial"/>
                <w:b/>
                <w:i w:val="0"/>
                <w:sz w:val="18"/>
              </w:rPr>
              <w:t xml:space="preserve">Orientación. </w:t>
            </w:r>
            <w:r>
              <w:rPr>
                <w:rFonts w:ascii="Arial" w:hAnsi="Arial"/>
                <w:b w:val="0"/>
                <w:i w:val="0"/>
                <w:sz w:val="18"/>
              </w:rPr>
              <w:t>Log auditable = registro íntegro, con fecha y atribuible de las operaciones, consultable en fiscalización. Nota: cuando el sistema genere inferencias clínicas, diagnósticas o predictivas (ver 2.1/P5.1), el log debe permitir rastrear, por decisión: identificador de la inferencia, versión/configuración del modelo, datos de entrada (o referencia pseudonimizada a ellos), salida del sistema y operador humano responsable.</w:t>
            </w:r>
          </w:p>
        </w:tc>
      </w:tr>
      <w:tr>
        <w:tc>
          <w:tcPr>
            <w:tcW w:type="dxa" w:w="2608"/>
          </w:tcPr>
          <w:p>
            <w:r>
              <w:rPr>
                <w:rFonts w:ascii="Arial" w:hAnsi="Arial"/>
                <w:b/>
                <w:i w:val="0"/>
                <w:sz w:val="19"/>
              </w:rPr>
              <w:t>3.11</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describe el entorno computacional de procesamiento y sus controles mínimos de seguridad (aislamiento, cifrado y, cuando corresponda, certificaciones)?</w:t>
            </w:r>
          </w:p>
          <w:p>
            <w:r>
              <w:rPr>
                <w:rFonts w:ascii="Arial" w:hAnsi="Arial"/>
                <w:b/>
                <w:i w:val="0"/>
                <w:sz w:val="18"/>
              </w:rPr>
              <w:t xml:space="preserve">Orientación. </w:t>
            </w:r>
            <w:r>
              <w:rPr>
                <w:rFonts w:ascii="Arial" w:hAnsi="Arial"/>
                <w:b w:val="0"/>
                <w:i w:val="0"/>
                <w:sz w:val="18"/>
              </w:rPr>
              <w:t>No exigir una certificación específica: exigir la descripción del entorno y de los controles. La certificación es evidencia, no condición. Nota: cuando el procesamiento dependa de un proveedor externo (nube, servicio de IA o modelo de terceros), la descripción del entorno incluye las condiciones contractuales de uso de los datos por el proveedor: prohibición de reutilización, entrenamiento o retención para finalidad propia; garantías de confidencialidad; y portabilidad/salida (vendor lock-in), proporcionales al riesgo. Verificar 3.2/P6.2 y 3.3/P6.4.</w:t>
            </w:r>
          </w:p>
        </w:tc>
      </w:tr>
      <w:tr>
        <w:tc>
          <w:tcPr>
            <w:tcW w:type="dxa" w:w="2608"/>
          </w:tcPr>
          <w:p>
            <w:r>
              <w:rPr>
                <w:rFonts w:ascii="Arial" w:hAnsi="Arial"/>
                <w:b/>
                <w:i w:val="0"/>
                <w:sz w:val="19"/>
              </w:rPr>
              <w:t>3.12</w:t>
            </w:r>
          </w:p>
          <w:p>
            <w:r>
              <w:rPr>
                <w:rFonts w:ascii="Arial" w:hAnsi="Arial"/>
                <w:b w:val="0"/>
                <w:i w:val="0"/>
                <w:sz w:val="17"/>
              </w:rPr>
              <w:t xml:space="preserve">Respuesta de riesgo: </w:t>
            </w:r>
            <w:r>
              <w:rPr>
                <w:rFonts w:ascii="Arial" w:hAnsi="Arial"/>
                <w:b/>
                <w:i w:val="0"/>
                <w:sz w:val="17"/>
              </w:rPr>
              <w:t>Sí</w:t>
            </w:r>
          </w:p>
          <w:p>
            <w:r>
              <w:rPr>
                <w:rFonts w:ascii="Arial" w:hAnsi="Arial"/>
                <w:b w:val="0"/>
                <w:i/>
                <w:color w:val="555555"/>
                <w:sz w:val="16"/>
              </w:rPr>
              <w:t>admite «No se aplica»</w:t>
            </w:r>
          </w:p>
        </w:tc>
        <w:tc>
          <w:tcPr>
            <w:tcW w:type="dxa" w:w="7030"/>
          </w:tcPr>
          <w:p>
            <w:r>
              <w:rPr>
                <w:rFonts w:ascii="Arial" w:hAnsi="Arial"/>
                <w:b/>
                <w:i w:val="0"/>
                <w:sz w:val="19"/>
              </w:rPr>
              <w:t>¿Los datos del protocolo serán vinculados (linkage) a otras bases de datos, propias o externas?</w:t>
            </w:r>
          </w:p>
          <w:p>
            <w:r>
              <w:rPr>
                <w:rFonts w:ascii="Arial" w:hAnsi="Arial"/>
                <w:b/>
                <w:i w:val="0"/>
                <w:sz w:val="18"/>
              </w:rPr>
              <w:t xml:space="preserve">Orientación. </w:t>
            </w:r>
            <w:r>
              <w:rPr>
                <w:rFonts w:ascii="Arial" w:hAnsi="Arial"/>
                <w:b w:val="0"/>
                <w:i w:val="0"/>
                <w:sz w:val="18"/>
              </w:rPr>
              <w:t>Si hay linkage, la evaluación de reidentificación (3.5 / P6.3) debe considerar explícitamente el cruce de las bases involucradas.</w:t>
            </w:r>
          </w:p>
        </w:tc>
      </w:tr>
      <w:tr>
        <w:tc>
          <w:tcPr>
            <w:tcW w:type="dxa" w:w="2608"/>
          </w:tcPr>
          <w:p>
            <w:r>
              <w:rPr>
                <w:rFonts w:ascii="Arial" w:hAnsi="Arial"/>
                <w:b/>
                <w:i w:val="0"/>
                <w:sz w:val="19"/>
              </w:rPr>
              <w:t>3.13</w:t>
            </w:r>
          </w:p>
          <w:p>
            <w:r>
              <w:rPr>
                <w:rFonts w:ascii="Arial" w:hAnsi="Arial"/>
                <w:b w:val="0"/>
                <w:i w:val="0"/>
                <w:sz w:val="17"/>
              </w:rPr>
              <w:t xml:space="preserve">Respuesta de riesgo: </w:t>
            </w:r>
            <w:r>
              <w:rPr>
                <w:rFonts w:ascii="Arial" w:hAnsi="Arial"/>
                <w:b/>
                <w:i w:val="0"/>
                <w:sz w:val="17"/>
              </w:rPr>
              <w:t>No</w:t>
            </w:r>
          </w:p>
          <w:p>
            <w:r>
              <w:rPr>
                <w:rFonts w:ascii="Arial" w:hAnsi="Arial"/>
                <w:b w:val="0"/>
                <w:i/>
                <w:color w:val="555555"/>
                <w:sz w:val="16"/>
              </w:rPr>
              <w:t>admite «No se aplica»</w:t>
            </w:r>
          </w:p>
        </w:tc>
        <w:tc>
          <w:tcPr>
            <w:tcW w:type="dxa" w:w="7030"/>
          </w:tcPr>
          <w:p>
            <w:r>
              <w:rPr>
                <w:rFonts w:ascii="Arial" w:hAnsi="Arial"/>
                <w:b/>
                <w:i w:val="0"/>
                <w:sz w:val="19"/>
              </w:rPr>
              <w:t>Para sistemas con procesamiento de lenguaje natural, grandes modelos de lenguaje o generación de datos sintéticos: ¿hay pruebas documentadas de robustez contra la memorización y la extracción de datos de entrenamiento (ataques de extracción o de inferencia de pertenencia)?</w:t>
            </w:r>
          </w:p>
          <w:p>
            <w:r>
              <w:rPr>
                <w:rFonts w:ascii="Arial" w:hAnsi="Arial"/>
                <w:b/>
                <w:i w:val="0"/>
                <w:sz w:val="18"/>
              </w:rPr>
              <w:t xml:space="preserve">Orientación. </w:t>
            </w:r>
            <w:r>
              <w:rPr>
                <w:rFonts w:ascii="Arial" w:hAnsi="Arial"/>
                <w:b w:val="0"/>
                <w:i w:val="0"/>
                <w:sz w:val="18"/>
              </w:rPr>
              <w:t>Aplicable solo a PLN/LLM/datos sintéticos (N/A en los demás casos).</w:t>
            </w:r>
          </w:p>
        </w:tc>
      </w:tr>
    </w:tbl>
    <w:p>
      <w:pPr>
        <w:spacing w:before="200" w:after="80"/>
      </w:pPr>
      <w:r>
        <w:rPr>
          <w:rFonts w:ascii="Arial" w:hAnsi="Arial"/>
          <w:b/>
          <w:i w:val="0"/>
          <w:color w:val="0F766E"/>
          <w:sz w:val="25"/>
        </w:rPr>
        <w:t>Eje 3.b: Bancos de Datos de Investigación (Res. CNS n.º 738/2024)</w:t>
      </w:r>
    </w:p>
    <w:p>
      <w:pPr>
        <w:spacing w:after="120"/>
      </w:pPr>
      <w:r>
        <w:rPr>
          <w:rFonts w:ascii="Arial" w:hAnsi="Arial"/>
          <w:b w:val="0"/>
          <w:i w:val="0"/>
          <w:color w:val="555555"/>
          <w:sz w:val="19"/>
        </w:rPr>
        <w:t>Subsección aplicable cuando el protocolo utiliza bancos de datos (propios, de otra investigación o de institución externa). Deriva de la Resolución CNS n.º 738/2024 y complementa el Eje 3. Puede elevar el nivel consolidado del protocolo.</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3.b.1</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identifica al Controlador del banco de datos (art. 3.º, IV de la Res. CNS n.º 738/2024), con cargo, función e institución vinculada?</w:t>
            </w:r>
          </w:p>
          <w:p>
            <w:r>
              <w:rPr>
                <w:rFonts w:ascii="Arial" w:hAnsi="Arial"/>
                <w:b/>
                <w:i w:val="0"/>
                <w:sz w:val="18"/>
              </w:rPr>
              <w:t xml:space="preserve">Orientación. </w:t>
            </w:r>
            <w:r>
              <w:rPr>
                <w:rFonts w:ascii="Arial" w:hAnsi="Arial"/>
                <w:b w:val="0"/>
                <w:i w:val="0"/>
                <w:sz w:val="18"/>
              </w:rPr>
              <w:t>Identifica al Controlador del banco (Arts. 3.º, IV y 9.º de la Res. CNS n.º 738/2024), con cargo, función e institución. Sin ello, no hay cadena de custodia formalizada sobre los datos. En el Eje 3.b (Salvaguarda de la Res. 738), una única respuesta de riesgo ya lleva el eje al Nivel III — no hay categoría intermedia para bancos de datos.</w:t>
            </w:r>
          </w:p>
        </w:tc>
      </w:tr>
      <w:tr>
        <w:tc>
          <w:tcPr>
            <w:tcW w:type="dxa" w:w="2608"/>
          </w:tcPr>
          <w:p>
            <w:r>
              <w:rPr>
                <w:rFonts w:ascii="Arial" w:hAnsi="Arial"/>
                <w:b/>
                <w:i w:val="0"/>
                <w:sz w:val="19"/>
              </w:rPr>
              <w:t>3.b.2</w:t>
            </w:r>
          </w:p>
          <w:p>
            <w:r>
              <w:rPr>
                <w:rFonts w:ascii="Arial" w:hAnsi="Arial"/>
                <w:b w:val="0"/>
                <w:i w:val="0"/>
                <w:sz w:val="17"/>
              </w:rPr>
              <w:t xml:space="preserve">Respuesta de riesgo: </w:t>
            </w:r>
            <w:r>
              <w:rPr>
                <w:rFonts w:ascii="Arial" w:hAnsi="Arial"/>
                <w:b/>
                <w:i w:val="0"/>
                <w:sz w:val="17"/>
              </w:rPr>
              <w:t>No</w:t>
            </w:r>
          </w:p>
          <w:p>
            <w:r>
              <w:rPr>
                <w:rFonts w:ascii="Arial" w:hAnsi="Arial"/>
                <w:b w:val="0"/>
                <w:i/>
                <w:color w:val="555555"/>
                <w:sz w:val="16"/>
              </w:rPr>
              <w:t>ELIMINATORIA</w:t>
            </w:r>
          </w:p>
          <w:p>
            <w:r>
              <w:rPr>
                <w:rFonts w:ascii="Arial" w:hAnsi="Arial"/>
                <w:b w:val="0"/>
                <w:i/>
                <w:color w:val="555555"/>
                <w:sz w:val="16"/>
              </w:rPr>
              <w:t>admite «No se aplica»</w:t>
            </w:r>
          </w:p>
        </w:tc>
        <w:tc>
          <w:tcPr>
            <w:tcW w:type="dxa" w:w="7030"/>
          </w:tcPr>
          <w:p>
            <w:r>
              <w:rPr>
                <w:rFonts w:ascii="Arial" w:hAnsi="Arial"/>
                <w:b/>
                <w:i w:val="0"/>
                <w:sz w:val="19"/>
              </w:rPr>
              <w:t>Si el banco fue constituido fuera del ámbito de investigación (origen no investigativo: historias clínicas, registros, bases administrativas): ¿hay Término de Anuencia Institucional (Art. 27, VI de la Res. CNS n.º 738/2024) firmado por el responsable (directivo o persona por él delegada) de la institución que posee los datos?</w:t>
            </w:r>
          </w:p>
          <w:p>
            <w:r>
              <w:rPr>
                <w:rFonts w:ascii="Arial" w:hAnsi="Arial"/>
                <w:b/>
                <w:i w:val="0"/>
                <w:sz w:val="18"/>
              </w:rPr>
              <w:t xml:space="preserve">Orientación. </w:t>
            </w:r>
            <w:r>
              <w:rPr>
                <w:rFonts w:ascii="Arial" w:hAnsi="Arial"/>
                <w:b w:val="0"/>
                <w:i w:val="0"/>
                <w:sz w:val="18"/>
              </w:rPr>
              <w:t>Verifica el Término de Anuencia Institucional (Art. 27, VI de la Res. CNS n.º 738/2024), firmado por el responsable (directivo o persona por él delegada) de la institución de donde provienen los datos — exigible solo para banco constituido fuera del ámbito de investigación (origen no investigativo: historias clínicas, registros, bases administrativas). Salvaguarda de Inevaluabilidad: en ese caso, su ausencia torna el protocolo «no evaluable por la MARIAH» (§7.3.6), sobrescribiendo la clasificación y exigiendo un análisis individualizado del CEP. Marque «No se aplica» cuando el banco fue constituido en el ámbito de investigación — incluido el reuso de un banco de investigación anterior del propio investigador —, hipótesis regida por el Art. 24 (Término de Compromiso de Uso de Datos), que no exige Anuencia.</w:t>
            </w:r>
          </w:p>
        </w:tc>
      </w:tr>
      <w:tr>
        <w:tc>
          <w:tcPr>
            <w:tcW w:type="dxa" w:w="2608"/>
          </w:tcPr>
          <w:p>
            <w:r>
              <w:rPr>
                <w:rFonts w:ascii="Arial" w:hAnsi="Arial"/>
                <w:b/>
                <w:i w:val="0"/>
                <w:sz w:val="19"/>
              </w:rPr>
              <w:t>3.b.3</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Término de Compromiso de Uso de Datos (Arts. 24, V y 27, V), firmado por los investigadores, consta en el dosier del protocolo?</w:t>
            </w:r>
          </w:p>
          <w:p>
            <w:r>
              <w:rPr>
                <w:rFonts w:ascii="Arial" w:hAnsi="Arial"/>
                <w:b/>
                <w:i w:val="0"/>
                <w:sz w:val="18"/>
              </w:rPr>
              <w:t xml:space="preserve">Orientación. </w:t>
            </w:r>
            <w:r>
              <w:rPr>
                <w:rFonts w:ascii="Arial" w:hAnsi="Arial"/>
                <w:b w:val="0"/>
                <w:i w:val="0"/>
                <w:sz w:val="18"/>
              </w:rPr>
              <w:t>Confirma el Término de Compromiso de Uso de Datos, firmado por los investigadores (Arts. 24, V y 27, V de la Res. CNS n.º 738/2024), que asumen responsabilidad sobre finalidad, confidencialidad y eliminación. Es distinto del Término de Anuencia (3.b.2): el Compromiso es de los investigadores; la Anuencia, del responsable (directivo o persona por él delegada) de la institución que posee los datos. En el Eje 3.b, una única respuesta de riesgo ya eleva el eje al Nivel III.</w:t>
            </w:r>
          </w:p>
        </w:tc>
      </w:tr>
      <w:tr>
        <w:tc>
          <w:tcPr>
            <w:tcW w:type="dxa" w:w="2608"/>
          </w:tcPr>
          <w:p>
            <w:r>
              <w:rPr>
                <w:rFonts w:ascii="Arial" w:hAnsi="Arial"/>
                <w:b/>
                <w:i w:val="0"/>
                <w:sz w:val="19"/>
              </w:rPr>
              <w:t>3.b.4</w:t>
            </w:r>
          </w:p>
          <w:p>
            <w:r>
              <w:rPr>
                <w:rFonts w:ascii="Arial" w:hAnsi="Arial"/>
                <w:b w:val="0"/>
                <w:i w:val="0"/>
                <w:sz w:val="17"/>
              </w:rPr>
              <w:t xml:space="preserve">Respuesta de riesgo: </w:t>
            </w:r>
            <w:r>
              <w:rPr>
                <w:rFonts w:ascii="Arial" w:hAnsi="Arial"/>
                <w:b/>
                <w:i w:val="0"/>
                <w:sz w:val="17"/>
              </w:rPr>
              <w:t>No</w:t>
            </w:r>
          </w:p>
          <w:p>
            <w:r>
              <w:rPr>
                <w:rFonts w:ascii="Arial" w:hAnsi="Arial"/>
                <w:b w:val="0"/>
                <w:i/>
                <w:color w:val="555555"/>
                <w:sz w:val="16"/>
              </w:rPr>
              <w:t>admite «No se aplica»</w:t>
            </w:r>
          </w:p>
        </w:tc>
        <w:tc>
          <w:tcPr>
            <w:tcW w:type="dxa" w:w="7030"/>
          </w:tcPr>
          <w:p>
            <w:r>
              <w:rPr>
                <w:rFonts w:ascii="Arial" w:hAnsi="Arial"/>
                <w:b/>
                <w:i w:val="0"/>
                <w:sz w:val="19"/>
              </w:rPr>
              <w:t>Si hay una solicitud de dispensa del TCLE para uso futuro de datos: ¿el protocolo identifica el origen del banco e indica expresamente la hipótesis invocada de la Res. CNS n.º 738/2024, y la fundamenta? Para banco constituido fuera del ámbito de la investigación (art. 27), la única vía es la anonimización por el Controlador (art. 20, § 5.º). Para banco constituido en el ámbito de la investigación, el art. 25 admite cuatro situaciones: (i) datos recolectados originalmente sin identificación de la persona participante; (ii) consentimiento previo de la persona participante, manifestado en TCLE de una investigación anterior, para uso en investigaciones futuras, en la forma del art. 40, X, de la Ley n.º 14.874/2024; (iii) compartición de datos anonimizados por el Controlador; (iv) anonimización irreversible de los datos en el protocolo original, hipótesis en que el dato deja de ser dato personal (art. 12 de la LGPD).</w:t>
            </w:r>
          </w:p>
          <w:p>
            <w:r>
              <w:rPr>
                <w:rFonts w:ascii="Arial" w:hAnsi="Arial"/>
                <w:b/>
                <w:i w:val="0"/>
                <w:sz w:val="18"/>
              </w:rPr>
              <w:t xml:space="preserve">Orientación. </w:t>
            </w:r>
            <w:r>
              <w:rPr>
                <w:rFonts w:ascii="Arial" w:hAnsi="Arial"/>
                <w:b w:val="0"/>
                <w:i w:val="0"/>
                <w:sz w:val="18"/>
              </w:rPr>
              <w:t>La dispensa del TCLE para uso futuro no es automática: exige el encuadre en la hipótesis correspondiente según el origen del banco (Res. CNS n.º 738/2024). Banco constituido fuera del ámbito de la investigación → la única vía es la anonimización por el Controlador (art. 20, § 5.º). Banco constituido en el ámbito de la investigación → art. 25, cuatro situaciones. Una justificación genérica no basta.</w:t>
            </w:r>
          </w:p>
        </w:tc>
      </w:tr>
      <w:tr>
        <w:tc>
          <w:tcPr>
            <w:tcW w:type="dxa" w:w="2608"/>
          </w:tcPr>
          <w:p>
            <w:r>
              <w:rPr>
                <w:rFonts w:ascii="Arial" w:hAnsi="Arial"/>
                <w:b/>
                <w:i w:val="0"/>
                <w:sz w:val="19"/>
              </w:rPr>
              <w:t>3.b.5</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Si el protocolo es multicéntrico, involucra a más de una institución o prevé la compartición del banco con terceros: ¿hay un acuerdo formal de compartición o controladoría conjunta formalizada en Término de Acuerdo Institucional (art. 3.º, XVI y § 2.º del art. 12)?</w:t>
            </w:r>
          </w:p>
          <w:p>
            <w:r>
              <w:rPr>
                <w:rFonts w:ascii="Arial" w:hAnsi="Arial"/>
                <w:b/>
                <w:i w:val="0"/>
                <w:sz w:val="18"/>
              </w:rPr>
              <w:t xml:space="preserve">Orientación. </w:t>
            </w:r>
            <w:r>
              <w:rPr>
                <w:rFonts w:ascii="Arial" w:hAnsi="Arial"/>
                <w:b w:val="0"/>
                <w:i w:val="0"/>
                <w:sz w:val="18"/>
              </w:rPr>
              <w:t>En investigación multicéntrica, la controladoría conjunta de los datos debe estar formalizada en Término de Acuerdo Institucional (Art. 3.º, XVI y §2.º del Art. 12 de la Res. CNS n.º 738/2024). En el Eje 3.b, una única respuesta de riesgo ya lleva el eje al Nivel III.</w:t>
            </w:r>
          </w:p>
        </w:tc>
      </w:tr>
      <w:tr>
        <w:tc>
          <w:tcPr>
            <w:tcW w:type="dxa" w:w="2608"/>
          </w:tcPr>
          <w:p>
            <w:r>
              <w:rPr>
                <w:rFonts w:ascii="Arial" w:hAnsi="Arial"/>
                <w:b/>
                <w:i w:val="0"/>
                <w:sz w:val="19"/>
              </w:rPr>
              <w:t>3.b.4.1</w:t>
            </w:r>
          </w:p>
          <w:p>
            <w:r>
              <w:rPr>
                <w:rFonts w:ascii="Arial" w:hAnsi="Arial"/>
                <w:b w:val="0"/>
                <w:i w:val="0"/>
                <w:sz w:val="17"/>
              </w:rPr>
              <w:t xml:space="preserve">Respuesta de riesgo: </w:t>
            </w:r>
            <w:r>
              <w:rPr>
                <w:rFonts w:ascii="Arial" w:hAnsi="Arial"/>
                <w:b/>
                <w:i w:val="0"/>
                <w:sz w:val="17"/>
              </w:rPr>
              <w:t>No</w:t>
            </w:r>
          </w:p>
          <w:p>
            <w:r>
              <w:rPr>
                <w:rFonts w:ascii="Arial" w:hAnsi="Arial"/>
                <w:b w:val="0"/>
                <w:i/>
                <w:color w:val="555555"/>
                <w:sz w:val="16"/>
              </w:rPr>
              <w:t>ELIMINATORIA</w:t>
            </w:r>
          </w:p>
          <w:p>
            <w:r>
              <w:rPr>
                <w:rFonts w:ascii="Arial" w:hAnsi="Arial"/>
                <w:b w:val="0"/>
                <w:i/>
                <w:color w:val="555555"/>
                <w:sz w:val="16"/>
              </w:rPr>
              <w:t>Diligencia (devolución)</w:t>
            </w:r>
          </w:p>
          <w:p>
            <w:r>
              <w:rPr>
                <w:rFonts w:ascii="Arial" w:hAnsi="Arial"/>
                <w:b w:val="0"/>
                <w:i/>
                <w:color w:val="555555"/>
                <w:sz w:val="16"/>
              </w:rPr>
              <w:t>Condicional</w:t>
            </w:r>
          </w:p>
        </w:tc>
        <w:tc>
          <w:tcPr>
            <w:tcW w:type="dxa" w:w="7030"/>
          </w:tcPr>
          <w:p>
            <w:r>
              <w:rPr>
                <w:rFonts w:ascii="Arial" w:hAnsi="Arial"/>
                <w:b/>
                <w:i w:val="0"/>
                <w:sz w:val="19"/>
              </w:rPr>
              <w:t>Si hay una solicitud de dispensa del TCLE con acceso a datos identificables: ¿el acceso es indispensable para alcanzar los objetivos científicos de la investigación, o la misma finalidad podría lograrse mediante datos previamente anonimizados o pseudonimizados por la institución custodia?</w:t>
            </w:r>
          </w:p>
          <w:p>
            <w:r>
              <w:rPr>
                <w:rFonts w:ascii="Arial" w:hAnsi="Arial"/>
                <w:b/>
                <w:i w:val="0"/>
                <w:sz w:val="18"/>
              </w:rPr>
              <w:t xml:space="preserve">Orientación. </w:t>
            </w:r>
            <w:r>
              <w:rPr>
                <w:rFonts w:ascii="Arial" w:hAnsi="Arial"/>
                <w:b w:val="0"/>
                <w:i w:val="0"/>
                <w:sz w:val="18"/>
              </w:rPr>
              <w:t>Si la finalidad es alcanzable sin datos identificables y el protocolo aun así los requiere, el CEP lo devuelve para justificación o redireccionamiento a la anonimización por el Controlador (art. 20, § 5.º).</w:t>
            </w:r>
          </w:p>
        </w:tc>
      </w:tr>
      <w:tr>
        <w:tc>
          <w:tcPr>
            <w:tcW w:type="dxa" w:w="2608"/>
          </w:tcPr>
          <w:p>
            <w:r>
              <w:rPr>
                <w:rFonts w:ascii="Arial" w:hAnsi="Arial"/>
                <w:b/>
                <w:i w:val="0"/>
                <w:sz w:val="19"/>
              </w:rPr>
              <w:t>3.b.7</w:t>
            </w:r>
          </w:p>
          <w:p>
            <w:r>
              <w:rPr>
                <w:rFonts w:ascii="Arial" w:hAnsi="Arial"/>
                <w:b w:val="0"/>
                <w:i w:val="0"/>
                <w:sz w:val="17"/>
              </w:rPr>
              <w:t xml:space="preserve">Respuesta de riesgo: </w:t>
            </w:r>
            <w:r>
              <w:rPr>
                <w:rFonts w:ascii="Arial" w:hAnsi="Arial"/>
                <w:b/>
                <w:i w:val="0"/>
                <w:sz w:val="17"/>
              </w:rPr>
              <w:t>No</w:t>
            </w:r>
          </w:p>
          <w:p>
            <w:r>
              <w:rPr>
                <w:rFonts w:ascii="Arial" w:hAnsi="Arial"/>
                <w:b w:val="0"/>
                <w:i/>
                <w:color w:val="555555"/>
                <w:sz w:val="16"/>
              </w:rPr>
              <w:t>ELIMINATORIA</w:t>
            </w:r>
          </w:p>
          <w:p>
            <w:r>
              <w:rPr>
                <w:rFonts w:ascii="Arial" w:hAnsi="Arial"/>
                <w:b w:val="0"/>
                <w:i/>
                <w:color w:val="555555"/>
                <w:sz w:val="16"/>
              </w:rPr>
              <w:t>Diligencia (devolución)</w:t>
            </w:r>
          </w:p>
          <w:p>
            <w:r>
              <w:rPr>
                <w:rFonts w:ascii="Arial" w:hAnsi="Arial"/>
                <w:b w:val="0"/>
                <w:i/>
                <w:color w:val="555555"/>
                <w:sz w:val="16"/>
              </w:rPr>
              <w:t>Condicional</w:t>
            </w:r>
          </w:p>
        </w:tc>
        <w:tc>
          <w:tcPr>
            <w:tcW w:type="dxa" w:w="7030"/>
          </w:tcPr>
          <w:p>
            <w:r>
              <w:rPr>
                <w:rFonts w:ascii="Arial" w:hAnsi="Arial"/>
                <w:b/>
                <w:i w:val="0"/>
                <w:sz w:val="19"/>
              </w:rPr>
              <w:t>¿El protocolo cumple acumulativamente todos los criterios para la dispensa del TCLE en investigación con IA sobre bancos de datos? (i) datos secundarios obtenidos lícitamente; (ii) investigación retrospectiva, sin contacto con las personas participantes; (iii) imposibilidad práctica de obtención del TCLE debidamente justificada; (iv) riesgo mínimo para las personas participantes; (v) acceso a datos identificables limitado a lo estrictamente necesario, preferentemente datos pseudonimizados/anonimizados por la institución custodia; (vi) entorno seguro de procesamiento, con controles de acceso, auditoría y gobernanza; (vii) evaluación documentada del riesgo de reidentificación y de inferencia derivado del uso de la IA; (viii) inexistencia de decisiones o intervenciones individualizadas sobre las personas participantes con base en los resultados de la IA; (ix) finalidad científica delimitada, prohibido el entrenamiento de modelos de propósito general sin nueva apreciación ética.</w:t>
            </w:r>
          </w:p>
          <w:p>
            <w:r>
              <w:rPr>
                <w:rFonts w:ascii="Arial" w:hAnsi="Arial"/>
                <w:b/>
                <w:i w:val="0"/>
                <w:sz w:val="18"/>
              </w:rPr>
              <w:t xml:space="preserve">Orientación. </w:t>
            </w:r>
            <w:r>
              <w:rPr>
                <w:rFonts w:ascii="Arial" w:hAnsi="Arial"/>
                <w:b w:val="0"/>
                <w:i w:val="0"/>
                <w:sz w:val="18"/>
              </w:rPr>
              <w:t>El checklist no gradúa riesgo: verifica la admisibilidad de la dispensa. La puntuación del protocolo sigue por los demás bloques.</w:t>
            </w:r>
          </w:p>
        </w:tc>
      </w:tr>
      <w:tr>
        <w:tc>
          <w:tcPr>
            <w:tcW w:type="dxa" w:w="2608"/>
          </w:tcPr>
          <w:p>
            <w:r>
              <w:rPr>
                <w:rFonts w:ascii="Arial" w:hAnsi="Arial"/>
                <w:b/>
                <w:i w:val="0"/>
                <w:sz w:val="19"/>
              </w:rPr>
              <w:t>3.b.6</w:t>
            </w:r>
          </w:p>
          <w:p>
            <w:r>
              <w:rPr>
                <w:rFonts w:ascii="Arial" w:hAnsi="Arial"/>
                <w:b w:val="0"/>
                <w:i w:val="0"/>
                <w:sz w:val="17"/>
              </w:rPr>
              <w:t xml:space="preserve">Respuesta de riesgo: </w:t>
            </w:r>
            <w:r>
              <w:rPr>
                <w:rFonts w:ascii="Arial" w:hAnsi="Arial"/>
                <w:b/>
                <w:i w:val="0"/>
                <w:sz w:val="17"/>
              </w:rPr>
              <w:t>No</w:t>
            </w:r>
          </w:p>
          <w:p>
            <w:r>
              <w:rPr>
                <w:rFonts w:ascii="Arial" w:hAnsi="Arial"/>
                <w:b w:val="0"/>
                <w:i/>
                <w:color w:val="555555"/>
                <w:sz w:val="16"/>
              </w:rPr>
              <w:t>ELIMINATORIA</w:t>
            </w:r>
          </w:p>
          <w:p>
            <w:r>
              <w:rPr>
                <w:rFonts w:ascii="Arial" w:hAnsi="Arial"/>
                <w:b w:val="0"/>
                <w:i/>
                <w:color w:val="555555"/>
                <w:sz w:val="16"/>
              </w:rPr>
              <w:t>Diligencia (devolución)</w:t>
            </w:r>
          </w:p>
        </w:tc>
        <w:tc>
          <w:tcPr>
            <w:tcW w:type="dxa" w:w="7030"/>
          </w:tcPr>
          <w:p>
            <w:r>
              <w:rPr>
                <w:rFonts w:ascii="Arial" w:hAnsi="Arial"/>
                <w:b/>
                <w:i w:val="0"/>
                <w:sz w:val="19"/>
              </w:rPr>
              <w:t>¿El protocolo presenta una declaración del Controlador con el compromiso de anonimización de los datos antes de la puesta a disposición del banco?</w:t>
            </w:r>
          </w:p>
          <w:p>
            <w:r>
              <w:rPr>
                <w:rFonts w:ascii="Arial" w:hAnsi="Arial"/>
                <w:b/>
                <w:i w:val="0"/>
                <w:sz w:val="18"/>
              </w:rPr>
              <w:t xml:space="preserve">Orientación. </w:t>
            </w:r>
            <w:r>
              <w:rPr>
                <w:rFonts w:ascii="Arial" w:hAnsi="Arial"/>
                <w:b w:val="0"/>
                <w:i w:val="0"/>
                <w:sz w:val="18"/>
              </w:rPr>
              <w:t>Documento obligatorio del dosier de sumisión; la verificación es de presencia y validez de la declaración.</w:t>
            </w:r>
          </w:p>
        </w:tc>
      </w:tr>
    </w:tbl>
    <w:p>
      <w:pPr>
        <w:spacing w:before="200" w:after="80"/>
      </w:pPr>
      <w:r>
        <w:rPr>
          <w:rFonts w:ascii="Arial" w:hAnsi="Arial"/>
          <w:b/>
          <w:i w:val="0"/>
          <w:color w:val="0F766E"/>
          <w:sz w:val="25"/>
        </w:rPr>
        <w:t>Eje 4: Representatividad y Transferibilidad</w:t>
      </w:r>
    </w:p>
    <w:p>
      <w:pPr>
        <w:spacing w:after="120"/>
      </w:pPr>
      <w:r>
        <w:rPr>
          <w:rFonts w:ascii="Arial" w:hAnsi="Arial"/>
          <w:b w:val="0"/>
          <w:i w:val="0"/>
          <w:color w:val="555555"/>
          <w:sz w:val="19"/>
        </w:rPr>
        <w:t>Evalúa si los datos de entrenamiento representan adecuadamente a la población objetivo y si el modelo fue validado en el contexto de uso.</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4.1</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¿Los datos de entrenamiento del modelo incluyen una representación adecuada de la diversidad de la población objetivo de este protocolo — raza, etnia, género, franja etaria, región geográfica?</w:t>
            </w:r>
          </w:p>
          <w:p>
            <w:r>
              <w:rPr>
                <w:rFonts w:ascii="Arial" w:hAnsi="Arial"/>
                <w:b/>
                <w:i w:val="0"/>
                <w:sz w:val="18"/>
              </w:rPr>
              <w:t xml:space="preserve">Orientación. </w:t>
            </w:r>
            <w:r>
              <w:rPr>
                <w:rFonts w:ascii="Arial" w:hAnsi="Arial"/>
                <w:b w:val="0"/>
                <w:i w:val="0"/>
                <w:sz w:val="18"/>
              </w:rPr>
              <w:t>Si los datos de entrenamiento no representan la diversidad de la población objetivo (raza/color, etnia, género, edad, región), el modelo puede producir resultados sesgados y discriminatorios para los subgrupos subrepresentados.</w:t>
            </w:r>
          </w:p>
        </w:tc>
      </w:tr>
      <w:tr>
        <w:tc>
          <w:tcPr>
            <w:tcW w:type="dxa" w:w="2608"/>
          </w:tcPr>
          <w:p>
            <w:r>
              <w:rPr>
                <w:rFonts w:ascii="Arial" w:hAnsi="Arial"/>
                <w:b/>
                <w:i w:val="0"/>
                <w:sz w:val="19"/>
              </w:rPr>
              <w:t>4.2</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modelo fue desarrollado fuera de Brasil para uso en población brasileña sin validación local documentada?</w:t>
            </w:r>
          </w:p>
          <w:p>
            <w:r>
              <w:rPr>
                <w:rFonts w:ascii="Arial" w:hAnsi="Arial"/>
                <w:b/>
                <w:i w:val="0"/>
                <w:sz w:val="18"/>
              </w:rPr>
              <w:t xml:space="preserve">Orientación. </w:t>
            </w:r>
            <w:r>
              <w:rPr>
                <w:rFonts w:ascii="Arial" w:hAnsi="Arial"/>
                <w:b w:val="0"/>
                <w:i w:val="0"/>
                <w:sz w:val="18"/>
              </w:rPr>
              <w:t>Un modelo desarrollado fuera de Brasil y usado en población brasileña sin validación local puede no reflejar el perfil epidemiológico y socioeconómico nacional, degradando el desempeño real.</w:t>
            </w:r>
          </w:p>
        </w:tc>
      </w:tr>
      <w:tr>
        <w:tc>
          <w:tcPr>
            <w:tcW w:type="dxa" w:w="2608"/>
          </w:tcPr>
          <w:p>
            <w:r>
              <w:rPr>
                <w:rFonts w:ascii="Arial" w:hAnsi="Arial"/>
                <w:b/>
                <w:i w:val="0"/>
                <w:sz w:val="19"/>
              </w:rPr>
              <w:t>4.3</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presenta una evaluación del desempeño del modelo por subgrupos poblacionales relevantes?</w:t>
            </w:r>
          </w:p>
          <w:p>
            <w:r>
              <w:rPr>
                <w:rFonts w:ascii="Arial" w:hAnsi="Arial"/>
                <w:b/>
                <w:i w:val="0"/>
                <w:sz w:val="18"/>
              </w:rPr>
              <w:t xml:space="preserve">Orientación. </w:t>
            </w:r>
            <w:r>
              <w:rPr>
                <w:rFonts w:ascii="Arial" w:hAnsi="Arial"/>
                <w:b w:val="0"/>
                <w:i w:val="0"/>
                <w:sz w:val="18"/>
              </w:rPr>
              <w:t>Sin una evaluación del desempeño por subgrupos poblacionales relevantes, las disparidades que afectan a grupos específicos pasan desapercibidas — el desempeño medio puede ocultar fallas localizadas.</w:t>
            </w:r>
          </w:p>
        </w:tc>
      </w:tr>
      <w:tr>
        <w:tc>
          <w:tcPr>
            <w:tcW w:type="dxa" w:w="2608"/>
          </w:tcPr>
          <w:p>
            <w:r>
              <w:rPr>
                <w:rFonts w:ascii="Arial" w:hAnsi="Arial"/>
                <w:b/>
                <w:i w:val="0"/>
                <w:sz w:val="19"/>
              </w:rPr>
              <w:t>4.4</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modelo fue entrenado predominantemente con datos de poblaciones de altos ingresos o de países del hemisferio norte?</w:t>
            </w:r>
          </w:p>
          <w:p>
            <w:r>
              <w:rPr>
                <w:rFonts w:ascii="Arial" w:hAnsi="Arial"/>
                <w:b/>
                <w:i w:val="0"/>
                <w:sz w:val="18"/>
              </w:rPr>
              <w:t xml:space="preserve">Orientación. </w:t>
            </w:r>
            <w:r>
              <w:rPr>
                <w:rFonts w:ascii="Arial" w:hAnsi="Arial"/>
                <w:b w:val="0"/>
                <w:i w:val="0"/>
                <w:sz w:val="18"/>
              </w:rPr>
              <w:t>Los modelos entrenados predominantemente con poblaciones de altos ingresos o del hemisferio norte pueden no representar la realidad socioeconómica y epidemiológica brasileña.</w:t>
            </w:r>
          </w:p>
        </w:tc>
      </w:tr>
      <w:tr>
        <w:tc>
          <w:tcPr>
            <w:tcW w:type="dxa" w:w="2608"/>
          </w:tcPr>
          <w:p>
            <w:r>
              <w:rPr>
                <w:rFonts w:ascii="Arial" w:hAnsi="Arial"/>
                <w:b/>
                <w:i w:val="0"/>
                <w:sz w:val="19"/>
              </w:rPr>
              <w:t>4.5</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describe los datos usados en el entrenamiento del modelo: origen, período de recolección, criterios de inclusión y exclusión?</w:t>
            </w:r>
          </w:p>
          <w:p>
            <w:r>
              <w:rPr>
                <w:rFonts w:ascii="Arial" w:hAnsi="Arial"/>
                <w:b/>
                <w:i w:val="0"/>
                <w:sz w:val="18"/>
              </w:rPr>
              <w:t xml:space="preserve">Orientación. </w:t>
            </w:r>
            <w:r>
              <w:rPr>
                <w:rFonts w:ascii="Arial" w:hAnsi="Arial"/>
                <w:b w:val="0"/>
                <w:i w:val="0"/>
                <w:sz w:val="18"/>
              </w:rPr>
              <w:t>La descripción de origen, período de recolección y criterios de inclusión/exclusión de los datos de entrenamiento es lo que permite evaluar la calidad y la representatividad del modelo; su ausencia impide ese juicio.</w:t>
            </w:r>
          </w:p>
        </w:tc>
      </w:tr>
      <w:tr>
        <w:tc>
          <w:tcPr>
            <w:tcW w:type="dxa" w:w="2608"/>
          </w:tcPr>
          <w:p>
            <w:r>
              <w:rPr>
                <w:rFonts w:ascii="Arial" w:hAnsi="Arial"/>
                <w:b/>
                <w:i w:val="0"/>
                <w:sz w:val="19"/>
              </w:rPr>
              <w:t>4.6</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¿Los datos de prueba del modelo son independientes de los datos de entrenamiento?</w:t>
            </w:r>
          </w:p>
          <w:p>
            <w:r>
              <w:rPr>
                <w:rFonts w:ascii="Arial" w:hAnsi="Arial"/>
                <w:b/>
                <w:i w:val="0"/>
                <w:sz w:val="18"/>
              </w:rPr>
              <w:t xml:space="preserve">Orientación. </w:t>
            </w:r>
            <w:r>
              <w:rPr>
                <w:rFonts w:ascii="Arial" w:hAnsi="Arial"/>
                <w:b w:val="0"/>
                <w:i w:val="0"/>
                <w:sz w:val="18"/>
              </w:rPr>
              <w:t>Si los datos de prueba no son independientes de los de entrenamiento, el desempeño reportado tiende a ser sobreestimado y no se confirma en el uso real.</w:t>
            </w:r>
          </w:p>
        </w:tc>
      </w:tr>
      <w:tr>
        <w:tc>
          <w:tcPr>
            <w:tcW w:type="dxa" w:w="2608"/>
          </w:tcPr>
          <w:p>
            <w:r>
              <w:rPr>
                <w:rFonts w:ascii="Arial" w:hAnsi="Arial"/>
                <w:b/>
                <w:i w:val="0"/>
                <w:sz w:val="19"/>
              </w:rPr>
              <w:t>4.7</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prevé el monitoreo de la degradación del desempeño del modelo a lo largo del tiempo (deriva de datos-data drift) en caso de ser utilizado en un contexto de aplicación continuada?</w:t>
            </w:r>
          </w:p>
          <w:p>
            <w:r>
              <w:rPr>
                <w:rFonts w:ascii="Arial" w:hAnsi="Arial"/>
                <w:b/>
                <w:i w:val="0"/>
                <w:sz w:val="18"/>
              </w:rPr>
              <w:t xml:space="preserve">Orientación. </w:t>
            </w:r>
            <w:r>
              <w:rPr>
                <w:rFonts w:ascii="Arial" w:hAnsi="Arial"/>
                <w:b w:val="0"/>
                <w:i w:val="0"/>
                <w:sz w:val="18"/>
              </w:rPr>
              <w:t>En uso continuado, sin monitorear la deriva de datos (data drift) el modelo puede degradarse silenciosamente, generando resultados cada vez menos confiables sin que el equipo lo perciba.</w:t>
            </w:r>
          </w:p>
        </w:tc>
      </w:tr>
      <w:tr>
        <w:tc>
          <w:tcPr>
            <w:tcW w:type="dxa" w:w="2608"/>
          </w:tcPr>
          <w:p>
            <w:r>
              <w:rPr>
                <w:rFonts w:ascii="Arial" w:hAnsi="Arial"/>
                <w:b/>
                <w:i w:val="0"/>
                <w:sz w:val="19"/>
              </w:rPr>
              <w:t>4.8</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desempeño del modelo fue validado en un contexto asistencial comparable al SUS o al sistema de salud en que será utilizado?</w:t>
            </w:r>
          </w:p>
          <w:p>
            <w:r>
              <w:rPr>
                <w:rFonts w:ascii="Arial" w:hAnsi="Arial"/>
                <w:b/>
                <w:i w:val="0"/>
                <w:sz w:val="18"/>
              </w:rPr>
              <w:t xml:space="preserve">Orientación. </w:t>
            </w:r>
            <w:r>
              <w:rPr>
                <w:rFonts w:ascii="Arial" w:hAnsi="Arial"/>
                <w:b w:val="0"/>
                <w:i w:val="0"/>
                <w:sz w:val="18"/>
              </w:rPr>
              <w:t>La validación en un contexto diferente no garantiza un desempeño adecuado en el escenario real de uso; la adherencia al contexto asistencial (ej.: SUS) es lo que sustenta la transferibilidad.</w:t>
            </w:r>
          </w:p>
        </w:tc>
      </w:tr>
    </w:tbl>
    <w:p>
      <w:pPr>
        <w:spacing w:before="200" w:after="80"/>
      </w:pPr>
      <w:r>
        <w:rPr>
          <w:rFonts w:ascii="Arial" w:hAnsi="Arial"/>
          <w:b/>
          <w:i w:val="0"/>
          <w:color w:val="0F766E"/>
          <w:sz w:val="25"/>
        </w:rPr>
        <w:t>Eje 5: Supervisión Humana y Explicabilidad</w:t>
      </w:r>
    </w:p>
    <w:p>
      <w:pPr>
        <w:spacing w:after="120"/>
      </w:pPr>
      <w:r>
        <w:rPr>
          <w:rFonts w:ascii="Arial" w:hAnsi="Arial"/>
          <w:b w:val="0"/>
          <w:i w:val="0"/>
          <w:color w:val="555555"/>
          <w:sz w:val="19"/>
        </w:rPr>
        <w:t>Evalúa la existencia de mecanismos de supervisión humana, explicabilidad del sistema y procedimientos de contingencia.</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5.1</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garantiza que un investigador habilitado revisa y puede cuestionar toda decisión generada por el sistema antes de su ejecución?</w:t>
            </w:r>
          </w:p>
          <w:p>
            <w:r>
              <w:rPr>
                <w:rFonts w:ascii="Arial" w:hAnsi="Arial"/>
                <w:b/>
                <w:i w:val="0"/>
                <w:sz w:val="18"/>
              </w:rPr>
              <w:t xml:space="preserve">Orientación. </w:t>
            </w:r>
            <w:r>
              <w:rPr>
                <w:rFonts w:ascii="Arial" w:hAnsi="Arial"/>
                <w:b w:val="0"/>
                <w:i w:val="0"/>
                <w:sz w:val="18"/>
              </w:rPr>
              <w:t>Sin una revisión humana obligatoria (human-in-the-loop) que pueda cuestionar la decisión antes de la ejecución, la persona participante queda expuesta a errores sin barrera de seguridad.</w:t>
            </w:r>
          </w:p>
        </w:tc>
      </w:tr>
      <w:tr>
        <w:tc>
          <w:tcPr>
            <w:tcW w:type="dxa" w:w="2608"/>
          </w:tcPr>
          <w:p>
            <w:r>
              <w:rPr>
                <w:rFonts w:ascii="Arial" w:hAnsi="Arial"/>
                <w:b/>
                <w:i w:val="0"/>
                <w:sz w:val="19"/>
              </w:rPr>
              <w:t>5.2</w:t>
            </w:r>
          </w:p>
          <w:p>
            <w:r>
              <w:rPr>
                <w:rFonts w:ascii="Arial" w:hAnsi="Arial"/>
                <w:b w:val="0"/>
                <w:i w:val="0"/>
                <w:sz w:val="17"/>
              </w:rPr>
              <w:t xml:space="preserve">Respuesta de riesgo: </w:t>
            </w:r>
            <w:r>
              <w:rPr>
                <w:rFonts w:ascii="Arial" w:hAnsi="Arial"/>
                <w:b/>
                <w:i w:val="0"/>
                <w:sz w:val="17"/>
              </w:rPr>
              <w:t>Sí</w:t>
            </w:r>
          </w:p>
        </w:tc>
        <w:tc>
          <w:tcPr>
            <w:tcW w:type="dxa" w:w="7030"/>
          </w:tcPr>
          <w:p>
            <w:r>
              <w:rPr>
                <w:rFonts w:ascii="Arial" w:hAnsi="Arial"/>
                <w:b/>
                <w:i w:val="0"/>
                <w:sz w:val="19"/>
              </w:rPr>
              <w:t>¿El sistema opera como único determinante de una decisión — sin revisión humana obligatoria?</w:t>
            </w:r>
          </w:p>
          <w:p>
            <w:r>
              <w:rPr>
                <w:rFonts w:ascii="Arial" w:hAnsi="Arial"/>
                <w:b/>
                <w:i w:val="0"/>
                <w:sz w:val="18"/>
              </w:rPr>
              <w:t xml:space="preserve">Orientación. </w:t>
            </w:r>
            <w:r>
              <w:rPr>
                <w:rFonts w:ascii="Arial" w:hAnsi="Arial"/>
                <w:b w:val="0"/>
                <w:i w:val="0"/>
                <w:sz w:val="18"/>
              </w:rPr>
              <w:t>Cuando el sistema opera como único determinante de la decisión, sin revisión humana obligatoria, se alcanza el mayor nivel de riesgo para la persona participante.</w:t>
            </w:r>
          </w:p>
        </w:tc>
      </w:tr>
      <w:tr>
        <w:tc>
          <w:tcPr>
            <w:tcW w:type="dxa" w:w="2608"/>
          </w:tcPr>
          <w:p>
            <w:r>
              <w:rPr>
                <w:rFonts w:ascii="Arial" w:hAnsi="Arial"/>
                <w:b/>
                <w:i w:val="0"/>
                <w:sz w:val="19"/>
              </w:rPr>
              <w:t>5.3</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define una responsabilidad humana clara en caso de error o daño derivado del uso del sistema?</w:t>
            </w:r>
          </w:p>
          <w:p>
            <w:r>
              <w:rPr>
                <w:rFonts w:ascii="Arial" w:hAnsi="Arial"/>
                <w:b/>
                <w:i w:val="0"/>
                <w:sz w:val="18"/>
              </w:rPr>
              <w:t xml:space="preserve">Orientación. </w:t>
            </w:r>
            <w:r>
              <w:rPr>
                <w:rFonts w:ascii="Arial" w:hAnsi="Arial"/>
                <w:b w:val="0"/>
                <w:i w:val="0"/>
                <w:sz w:val="18"/>
              </w:rPr>
              <w:t>Sin una responsabilidad humana clara en caso de error o daño, se instala una zona de impunidad que debilita la protección de la persona participante.</w:t>
            </w:r>
          </w:p>
        </w:tc>
      </w:tr>
      <w:tr>
        <w:tc>
          <w:tcPr>
            <w:tcW w:type="dxa" w:w="2608"/>
          </w:tcPr>
          <w:p>
            <w:r>
              <w:rPr>
                <w:rFonts w:ascii="Arial" w:hAnsi="Arial"/>
                <w:b/>
                <w:i w:val="0"/>
                <w:sz w:val="19"/>
              </w:rPr>
              <w:t>5.4</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equipo responsable del estudio tiene competencia técnica suficiente para interpretar los resultados del sistema e identificar fallas?</w:t>
            </w:r>
          </w:p>
          <w:p>
            <w:r>
              <w:rPr>
                <w:rFonts w:ascii="Arial" w:hAnsi="Arial"/>
                <w:b/>
                <w:i w:val="0"/>
                <w:sz w:val="18"/>
              </w:rPr>
              <w:t xml:space="preserve">Orientación. </w:t>
            </w:r>
            <w:r>
              <w:rPr>
                <w:rFonts w:ascii="Arial" w:hAnsi="Arial"/>
                <w:b w:val="0"/>
                <w:i w:val="0"/>
                <w:sz w:val="18"/>
              </w:rPr>
              <w:t>Sin competencia técnica para interpretar resultados e identificar fallas, el equipo no ejerce una supervisión real sobre el sistema.</w:t>
            </w:r>
          </w:p>
        </w:tc>
      </w:tr>
      <w:tr>
        <w:tc>
          <w:tcPr>
            <w:tcW w:type="dxa" w:w="2608"/>
          </w:tcPr>
          <w:p>
            <w:r>
              <w:rPr>
                <w:rFonts w:ascii="Arial" w:hAnsi="Arial"/>
                <w:b/>
                <w:i w:val="0"/>
                <w:sz w:val="19"/>
              </w:rPr>
              <w:t>5.5</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sistema proporciona, junto a cada resultado, una explicación comprensible sobre los factores que influyeron en ese resultado?</w:t>
            </w:r>
          </w:p>
          <w:p>
            <w:r>
              <w:rPr>
                <w:rFonts w:ascii="Arial" w:hAnsi="Arial"/>
                <w:b/>
                <w:i w:val="0"/>
                <w:sz w:val="18"/>
              </w:rPr>
              <w:t xml:space="preserve">Orientación. </w:t>
            </w:r>
            <w:r>
              <w:rPr>
                <w:rFonts w:ascii="Arial" w:hAnsi="Arial"/>
                <w:b w:val="0"/>
                <w:i w:val="0"/>
                <w:sz w:val="18"/>
              </w:rPr>
              <w:t>Sin una explicación comprensible junto a cada resultado, la supervisión humana y la detección de sesgos se ven perjudicadas.</w:t>
            </w:r>
          </w:p>
        </w:tc>
      </w:tr>
      <w:tr>
        <w:tc>
          <w:tcPr>
            <w:tcW w:type="dxa" w:w="2608"/>
          </w:tcPr>
          <w:p>
            <w:r>
              <w:rPr>
                <w:rFonts w:ascii="Arial" w:hAnsi="Arial"/>
                <w:b/>
                <w:i w:val="0"/>
                <w:sz w:val="19"/>
              </w:rPr>
              <w:t>5.6</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prevé un monitoreo continuo del desempeño del sistema tras el inicio del uso, con criterios definidos para la interrupción?</w:t>
            </w:r>
          </w:p>
          <w:p>
            <w:r>
              <w:rPr>
                <w:rFonts w:ascii="Arial" w:hAnsi="Arial"/>
                <w:b/>
                <w:i w:val="0"/>
                <w:sz w:val="18"/>
              </w:rPr>
              <w:t xml:space="preserve">Orientación. </w:t>
            </w:r>
            <w:r>
              <w:rPr>
                <w:rFonts w:ascii="Arial" w:hAnsi="Arial"/>
                <w:b w:val="0"/>
                <w:i w:val="0"/>
                <w:sz w:val="18"/>
              </w:rPr>
              <w:t>Sin un monitoreo continuo y criterios definidos de interrupción, el sistema puede degradarse sin detección, manteniendo a las personas participantes expuestas. Nota: el plan debe nombrar el mínimo esperado — métrica(s) de desempeño (incluyendo, cuando corresponda, estratificadas por subgrupo, ver 4.3/P3.6), umbral de alerta, periodicidad de medición y responsable — y prever una respuesta proporcional graduada al deterioro (alerta → restricción de uso → suspensión), con escalamiento documentado.</w:t>
            </w:r>
          </w:p>
        </w:tc>
      </w:tr>
      <w:tr>
        <w:tc>
          <w:tcPr>
            <w:tcW w:type="dxa" w:w="2608"/>
          </w:tcPr>
          <w:p>
            <w:r>
              <w:rPr>
                <w:rFonts w:ascii="Arial" w:hAnsi="Arial"/>
                <w:b/>
                <w:i w:val="0"/>
                <w:sz w:val="19"/>
              </w:rPr>
              <w:t>5.7</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¿Existe un procedimiento documentado para el caso de falla, indisponibilidad o resultado inconsistente del sistema durante el estudio?</w:t>
            </w:r>
          </w:p>
          <w:p>
            <w:r>
              <w:rPr>
                <w:rFonts w:ascii="Arial" w:hAnsi="Arial"/>
                <w:b/>
                <w:i w:val="0"/>
                <w:sz w:val="18"/>
              </w:rPr>
              <w:t xml:space="preserve">Orientación. </w:t>
            </w:r>
            <w:r>
              <w:rPr>
                <w:rFonts w:ascii="Arial" w:hAnsi="Arial"/>
                <w:b w:val="0"/>
                <w:i w:val="0"/>
                <w:sz w:val="18"/>
              </w:rPr>
              <w:t>Sin un procedimiento documentado para falla, indisponibilidad o resultado inconsistente, las decisiones pasan a ser improvisadas en momentos críticos.</w:t>
            </w:r>
          </w:p>
        </w:tc>
      </w:tr>
      <w:tr>
        <w:tc>
          <w:tcPr>
            <w:tcW w:type="dxa" w:w="2608"/>
          </w:tcPr>
          <w:p>
            <w:r>
              <w:rPr>
                <w:rFonts w:ascii="Arial" w:hAnsi="Arial"/>
                <w:b/>
                <w:i w:val="0"/>
                <w:sz w:val="19"/>
              </w:rPr>
              <w:t>5.8</w:t>
            </w:r>
          </w:p>
          <w:p>
            <w:r>
              <w:rPr>
                <w:rFonts w:ascii="Arial" w:hAnsi="Arial"/>
                <w:b w:val="0"/>
                <w:i w:val="0"/>
                <w:sz w:val="17"/>
              </w:rPr>
              <w:t xml:space="preserve">Respuesta de riesgo: </w:t>
            </w:r>
            <w:r>
              <w:rPr>
                <w:rFonts w:ascii="Arial" w:hAnsi="Arial"/>
                <w:b/>
                <w:i w:val="0"/>
                <w:sz w:val="17"/>
              </w:rPr>
              <w:t>No</w:t>
            </w:r>
          </w:p>
        </w:tc>
        <w:tc>
          <w:tcPr>
            <w:tcW w:type="dxa" w:w="7030"/>
          </w:tcPr>
          <w:p>
            <w:r>
              <w:rPr>
                <w:rFonts w:ascii="Arial" w:hAnsi="Arial"/>
                <w:b/>
                <w:i w:val="0"/>
                <w:sz w:val="19"/>
              </w:rPr>
              <w:t>¿El protocolo prevé cómo y cuándo el modelo será reentrenado, y quién autoriza esa actualización?</w:t>
            </w:r>
          </w:p>
          <w:p>
            <w:r>
              <w:rPr>
                <w:rFonts w:ascii="Arial" w:hAnsi="Arial"/>
                <w:b/>
                <w:i w:val="0"/>
                <w:sz w:val="18"/>
              </w:rPr>
              <w:t xml:space="preserve">Orientación. </w:t>
            </w:r>
            <w:r>
              <w:rPr>
                <w:rFonts w:ascii="Arial" w:hAnsi="Arial"/>
                <w:b w:val="0"/>
                <w:i w:val="0"/>
                <w:sz w:val="18"/>
              </w:rPr>
              <w:t>Sin definir cómo, cuándo y quién autoriza el reentrenamiento, el comportamiento del sistema puede cambiar de forma imprevisible a lo largo del estudio. Nota: se acepta como evidencia un plan de gestión de cambios preaprobado que evalúe el impacto de actualizaciones, recalibraciones o sustituciones sobre las personas participantes, los resultados y los riesgos éticos, y defina un criterio para distinguir una alteración menor de un cambio que exige comunicación o enmienda ética al CEP (umbrales predeterminados) — sin perjuicio del plan de nuevo consentimiento (2.10/P2.8), que permanece eliminatorio.</w:t>
            </w:r>
          </w:p>
        </w:tc>
      </w:tr>
    </w:tbl>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