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i w:val="0"/>
          <w:color w:val="0F766E"/>
          <w:sz w:val="40"/>
        </w:rPr>
        <w:t>MARIAH</w:t>
      </w:r>
    </w:p>
    <w:p>
      <w:r>
        <w:rPr>
          <w:rFonts w:ascii="Arial" w:hAnsi="Arial"/>
          <w:b/>
          <w:i w:val="0"/>
          <w:sz w:val="26"/>
        </w:rPr>
        <w:t>Instrucciones de Cumplimentación</w:t>
      </w:r>
    </w:p>
    <w:p>
      <w:r>
        <w:rPr>
          <w:rFonts w:ascii="Arial" w:hAnsi="Arial"/>
          <w:b/>
          <w:i w:val="0"/>
          <w:color w:val="0F766E"/>
          <w:sz w:val="24"/>
        </w:rPr>
        <w:t>Versión B — Cuantitativa</w:t>
      </w:r>
    </w:p>
    <w:p>
      <w:pPr>
        <w:spacing w:after="120"/>
      </w:pPr>
      <w:r>
        <w:rPr>
          <w:rFonts w:ascii="Arial" w:hAnsi="Arial"/>
          <w:b w:val="0"/>
          <w:i w:val="0"/>
          <w:color w:val="555555"/>
          <w:sz w:val="19"/>
        </w:rPr>
        <w:t>Puntuación ponderada en siete bloques de evaluación</w:t>
      </w:r>
    </w:p>
    <w:p>
      <w:pPr>
        <w:spacing w:after="120"/>
      </w:pPr>
      <w:r>
        <w:rPr>
          <w:rFonts w:ascii="Arial" w:hAnsi="Arial"/>
          <w:b w:val="0"/>
          <w:i/>
          <w:color w:val="555555"/>
          <w:sz w:val="19"/>
        </w:rPr>
        <w:t>Matriz de Evaluación de Riesgo en Inteligencia Artificial en Investigación con Seres Humanos</w:t>
      </w:r>
    </w:p>
    <w:p>
      <w:pPr>
        <w:spacing w:after="120"/>
      </w:pPr>
      <w:r>
        <w:rPr>
          <w:rFonts w:ascii="Arial" w:hAnsi="Arial"/>
          <w:b w:val="0"/>
          <w:i/>
          <w:color w:val="555555"/>
          <w:sz w:val="17"/>
        </w:rPr>
        <w:t>Documento generado a partir de la especificación canónica de la matriz (v2). Versión aprobada por la INAEP el 16/09/2026 (Voto n.º 25/2026) y publicada el 25/09/2026 — en período de uso y prueba por los CEPs.</w:t>
      </w:r>
    </w:p>
    <w:p>
      <w:pPr>
        <w:spacing w:after="120"/>
      </w:pPr>
      <w:r>
        <w:rPr>
          <w:rFonts w:ascii="Arial" w:hAnsi="Arial"/>
          <w:b w:val="0"/>
          <w:i/>
          <w:color w:val="555555"/>
          <w:sz w:val="17"/>
        </w:rPr>
        <w:t>Esta es una traducción de cortesía. La versión normativa vigente es la versión en portugués (pt-BR).</w:t>
      </w:r>
    </w:p>
    <w:p>
      <w:pPr>
        <w:spacing w:before="200" w:after="80"/>
      </w:pPr>
      <w:r>
        <w:rPr>
          <w:rFonts w:ascii="Arial" w:hAnsi="Arial"/>
          <w:b/>
          <w:i w:val="0"/>
          <w:color w:val="0F766E"/>
          <w:sz w:val="25"/>
        </w:rPr>
        <w:t>1. Cómo funciona la Versión B</w:t>
      </w:r>
    </w:p>
    <w:p>
      <w:pPr>
        <w:spacing w:after="120"/>
      </w:pPr>
      <w:r>
        <w:rPr>
          <w:rFonts w:ascii="Arial" w:hAnsi="Arial"/>
          <w:b w:val="0"/>
          <w:i w:val="0"/>
          <w:sz w:val="21"/>
        </w:rPr>
        <w:t>La Versión B es cuantitativa: cada respuesta de riesgo suma puntos, distribuidos en siete bloques temáticos. La puntuación total es la suma de los bloques (modelo aditivo), y los puntos de corte definen el nivel final del protocolo. Cada pregunta tiene un peso fijo, indicado en la columna «Ítem».</w:t>
      </w:r>
    </w:p>
    <w:p>
      <w:pPr>
        <w:spacing w:after="120"/>
      </w:pPr>
      <w:r>
        <w:rPr>
          <w:rFonts w:ascii="Arial" w:hAnsi="Arial"/>
          <w:b w:val="0"/>
          <w:i w:val="0"/>
          <w:sz w:val="21"/>
        </w:rPr>
        <w:t>Mecanismos que alteran la aritmética simple: (a) la Cláusula de Primacía Ética (Bloque 4) — si P4.1 o P4.2 es «Sí», el protocolo se eleva obligatoriamente al Nivel IV; (b) la eliminatoria de cadena de custodia (P6.b.2), que vuelve el protocolo «no evaluable por la MARIAH»; (c) el Bloque 7 (Mitigación), bidireccional y dividido en tres subbloques — 7A (consultas, suman cuando están ausentes), 7B (medidas de reducción, restan cuando están presentes) y 7C (evidencias de transparencia, régimen de solo descuento: presentes restan hasta 23 pts, ausentes no suman); (d) el Bloque 6.b condicional (Res. CNS n.º 738/2024), que suma 29 pts al Bloque 6 cuando hay banco de datos e integra tres ítems de diligencia (P6.b.4.1, P6.b.6, P6.b.7) que no puntúan y, cuando no se cumplen, vuelven el protocolo no evaluable en el mérito (devolución); y (e) la diligencia de nuevo consentimiento (P2.8), eliminatoria para sistemas adaptativos sin plan de nuevo consentimiento. El piso del Bloque 7 es cero: la puntuación no queda negativa.</w:t>
      </w:r>
    </w:p>
    <w:p>
      <w:pPr>
        <w:spacing w:before="200" w:after="80"/>
      </w:pPr>
      <w:r>
        <w:rPr>
          <w:rFonts w:ascii="Arial" w:hAnsi="Arial"/>
          <w:b/>
          <w:i w:val="0"/>
          <w:color w:val="0F766E"/>
          <w:sz w:val="25"/>
        </w:rPr>
        <w:t>Paso 0 — Filtro de banco de datos (Res. CNS n.º 738/2024)</w:t>
      </w:r>
    </w:p>
    <w:p>
      <w:pPr>
        <w:spacing w:after="120"/>
      </w:pPr>
      <w:r>
        <w:rPr>
          <w:rFonts w:ascii="Arial" w:hAnsi="Arial"/>
          <w:b w:val="0"/>
          <w:i w:val="0"/>
          <w:sz w:val="21"/>
        </w:rPr>
        <w:t>¿El protocolo utiliza un banco de datos —propio, de otra investigación o de una institución externa?</w:t>
      </w:r>
    </w:p>
    <w:p>
      <w:pPr>
        <w:spacing w:after="120"/>
      </w:pPr>
      <w:r>
        <w:rPr>
          <w:rFonts w:ascii="Arial" w:hAnsi="Arial"/>
          <w:b w:val="0"/>
          <w:i w:val="0"/>
          <w:color w:val="555555"/>
          <w:sz w:val="19"/>
        </w:rPr>
        <w:t>Este filtro activa la subsección Res. CNS n.º 738/2024 (Eje 3.b en la Versión A y Bloque 6.b en la Versión B). Los bancos abarcan datos recolectados fuera del alcance directo de cada persona participante de esta investigación. No marque «Sí» cuando el protocolo recolecta datos exclusivamente en el alcance de la investigación con cada persona participante.</w:t>
      </w:r>
    </w:p>
    <w:p>
      <w:pPr>
        <w:spacing w:before="200" w:after="80"/>
      </w:pPr>
      <w:r>
        <w:rPr>
          <w:rFonts w:ascii="Arial" w:hAnsi="Arial"/>
          <w:b/>
          <w:i w:val="0"/>
          <w:color w:val="0F766E"/>
          <w:sz w:val="25"/>
        </w:rPr>
        <w:t>Caracterización del contexto de uso (no puntúa)</w:t>
      </w:r>
    </w:p>
    <w:p>
      <w:pPr>
        <w:spacing w:after="120"/>
      </w:pPr>
      <w:r>
        <w:rPr>
          <w:rFonts w:ascii="Arial" w:hAnsi="Arial"/>
          <w:b w:val="0"/>
          <w:i w:val="0"/>
          <w:sz w:val="19"/>
        </w:rPr>
        <w:t>Antes de la puntuación, el protocolo responde a ocho preguntas descriptivas obligatorias. No puntúan ni determinan el nivel por sí mismas: delimitan el objeto de la evaluación y modulan la lectura de los ejes/bloques.</w:t>
      </w:r>
    </w:p>
    <w:tbl>
      <w:tblPr>
        <w:tblStyle w:val="TableGrid"/>
        <w:tblW w:type="auto" w:w="0"/>
        <w:tblLook w:firstColumn="1" w:firstRow="1" w:lastColumn="0" w:lastRow="0" w:noHBand="0" w:noVBand="1" w:val="04A0"/>
      </w:tblPr>
      <w:tblGrid>
        <w:gridCol w:w="1247"/>
        <w:gridCol w:w="8391"/>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descriptiva</w:t>
            </w:r>
          </w:p>
        </w:tc>
      </w:tr>
      <w:tr>
        <w:tc>
          <w:tcPr>
            <w:tcW w:type="dxa" w:w="1247"/>
          </w:tcPr>
          <w:p>
            <w:r>
              <w:rPr>
                <w:rFonts w:ascii="Arial" w:hAnsi="Arial"/>
                <w:b/>
                <w:i w:val="0"/>
                <w:sz w:val="19"/>
              </w:rPr>
              <w:t>C.1</w:t>
            </w:r>
          </w:p>
        </w:tc>
        <w:tc>
          <w:tcPr>
            <w:tcW w:type="dxa" w:w="8391"/>
          </w:tcPr>
          <w:p>
            <w:r>
              <w:rPr>
                <w:rFonts w:ascii="Arial" w:hAnsi="Arial"/>
                <w:b w:val="0"/>
                <w:i w:val="0"/>
                <w:sz w:val="19"/>
              </w:rPr>
              <w:t>¿Cuál es la pregunta que el sistema de IA fue desarrollado para responder en este protocolo?</w:t>
            </w:r>
          </w:p>
          <w:p>
            <w:r>
              <w:rPr>
                <w:rFonts w:ascii="Arial" w:hAnsi="Arial"/>
                <w:b w:val="0"/>
                <w:i w:val="0"/>
                <w:color w:val="555555"/>
                <w:sz w:val="17"/>
              </w:rPr>
              <w:t>Describa la pregunta principal que el sistema de IA busca responder en el contexto del estudio. Ej.: «¿El sistema prevé el riesgo de reingreso hospitalario en 30 días para pacientes con insuficiencia cardíaca?»</w:t>
            </w:r>
          </w:p>
        </w:tc>
      </w:tr>
      <w:tr>
        <w:tc>
          <w:tcPr>
            <w:tcW w:type="dxa" w:w="1247"/>
          </w:tcPr>
          <w:p>
            <w:r>
              <w:rPr>
                <w:rFonts w:ascii="Arial" w:hAnsi="Arial"/>
                <w:b/>
                <w:i w:val="0"/>
                <w:sz w:val="19"/>
              </w:rPr>
              <w:t>C.2</w:t>
            </w:r>
          </w:p>
        </w:tc>
        <w:tc>
          <w:tcPr>
            <w:tcW w:type="dxa" w:w="8391"/>
          </w:tcPr>
          <w:p>
            <w:r>
              <w:rPr>
                <w:rFonts w:ascii="Arial" w:hAnsi="Arial"/>
                <w:b w:val="0"/>
                <w:i w:val="0"/>
                <w:sz w:val="19"/>
              </w:rPr>
              <w:t>¿El sistema responde a esa pregunta de forma autónoma o subsidia una decisión tomada por un ser humano?</w:t>
            </w:r>
          </w:p>
          <w:p>
            <w:r>
              <w:rPr>
                <w:rFonts w:ascii="Arial" w:hAnsi="Arial"/>
                <w:b w:val="0"/>
                <w:i w:val="0"/>
                <w:color w:val="555555"/>
                <w:sz w:val="17"/>
              </w:rPr>
              <w:t>Indique si el sistema toma la decisión de forma autónoma (sin intervención humana obligatoria) o si aporta insumos para que un profesional tome la decisión final.</w:t>
            </w:r>
          </w:p>
        </w:tc>
      </w:tr>
      <w:tr>
        <w:tc>
          <w:tcPr>
            <w:tcW w:type="dxa" w:w="1247"/>
          </w:tcPr>
          <w:p>
            <w:r>
              <w:rPr>
                <w:rFonts w:ascii="Arial" w:hAnsi="Arial"/>
                <w:b/>
                <w:i w:val="0"/>
                <w:sz w:val="19"/>
              </w:rPr>
              <w:t>C.3</w:t>
            </w:r>
          </w:p>
        </w:tc>
        <w:tc>
          <w:tcPr>
            <w:tcW w:type="dxa" w:w="8391"/>
          </w:tcPr>
          <w:p>
            <w:r>
              <w:rPr>
                <w:rFonts w:ascii="Arial" w:hAnsi="Arial"/>
                <w:b w:val="0"/>
                <w:i w:val="0"/>
                <w:sz w:val="19"/>
              </w:rPr>
              <w:t>¿Cuál es el estado de identificación de los datos personales utilizados en este protocolo?</w:t>
            </w:r>
          </w:p>
          <w:p>
            <w:r>
              <w:rPr>
                <w:rFonts w:ascii="Arial" w:hAnsi="Arial"/>
                <w:b w:val="0"/>
                <w:i w:val="0"/>
                <w:color w:val="555555"/>
                <w:sz w:val="17"/>
              </w:rPr>
              <w:t>El estado de identificación modula la lectura del Eje 3 / Bloque 6 y condiciona la pregunta C.5 (momento de la anonimización).</w:t>
            </w:r>
          </w:p>
        </w:tc>
      </w:tr>
      <w:tr>
        <w:tc>
          <w:tcPr>
            <w:tcW w:type="dxa" w:w="1247"/>
          </w:tcPr>
          <w:p>
            <w:r>
              <w:rPr>
                <w:rFonts w:ascii="Arial" w:hAnsi="Arial"/>
                <w:b/>
                <w:i w:val="0"/>
                <w:sz w:val="19"/>
              </w:rPr>
              <w:t>C.4</w:t>
            </w:r>
          </w:p>
        </w:tc>
        <w:tc>
          <w:tcPr>
            <w:tcW w:type="dxa" w:w="8391"/>
          </w:tcPr>
          <w:p>
            <w:r>
              <w:rPr>
                <w:rFonts w:ascii="Arial" w:hAnsi="Arial"/>
                <w:b w:val="0"/>
                <w:i w:val="0"/>
                <w:sz w:val="19"/>
              </w:rPr>
              <w:t>¿Cuál es el volumen aproximado de registros de participantes utilizados en este protocolo?</w:t>
            </w:r>
          </w:p>
          <w:p>
            <w:r>
              <w:rPr>
                <w:rFonts w:ascii="Arial" w:hAnsi="Arial"/>
                <w:b w:val="0"/>
                <w:i w:val="0"/>
                <w:color w:val="555555"/>
                <w:sz w:val="17"/>
              </w:rPr>
              <w:t>El volumen informa la evaluación de reidentificación (3.5 / P6.3) y el potencial de uso en entrenamiento. No hay un rango «seguro» — el CEP lee el número en el contexto.</w:t>
            </w:r>
          </w:p>
        </w:tc>
      </w:tr>
      <w:tr>
        <w:tc>
          <w:tcPr>
            <w:tcW w:type="dxa" w:w="1247"/>
          </w:tcPr>
          <w:p>
            <w:r>
              <w:rPr>
                <w:rFonts w:ascii="Arial" w:hAnsi="Arial"/>
                <w:b/>
                <w:i w:val="0"/>
                <w:sz w:val="19"/>
              </w:rPr>
              <w:t>C.5</w:t>
            </w:r>
          </w:p>
        </w:tc>
        <w:tc>
          <w:tcPr>
            <w:tcW w:type="dxa" w:w="8391"/>
          </w:tcPr>
          <w:p>
            <w:r>
              <w:rPr>
                <w:rFonts w:ascii="Arial" w:hAnsi="Arial"/>
                <w:b w:val="0"/>
                <w:i w:val="0"/>
                <w:sz w:val="19"/>
              </w:rPr>
              <w:t>¿En qué momento ocurre la anonimización de los datos en relación con el acceso por parte de los investigadores?</w:t>
            </w:r>
          </w:p>
          <w:p>
            <w:r>
              <w:rPr>
                <w:rFonts w:ascii="Arial" w:hAnsi="Arial"/>
                <w:b w:val="0"/>
                <w:i w:val="0"/>
                <w:color w:val="555555"/>
                <w:sz w:val="17"/>
              </w:rPr>
              <w:t>Si la anonimización la realizan los investigadores tras el acceso, hay una etapa de tratamiento de datos identificables que exige salvaguardas y justificación —léase en conjunto con el Eje 3.b / Bloque 6.b y con la ficha.</w:t>
            </w:r>
          </w:p>
        </w:tc>
      </w:tr>
      <w:tr>
        <w:tc>
          <w:tcPr>
            <w:tcW w:type="dxa" w:w="1247"/>
          </w:tcPr>
          <w:p>
            <w:r>
              <w:rPr>
                <w:rFonts w:ascii="Arial" w:hAnsi="Arial"/>
                <w:b/>
                <w:i w:val="0"/>
                <w:sz w:val="19"/>
              </w:rPr>
              <w:t>C.6</w:t>
            </w:r>
          </w:p>
        </w:tc>
        <w:tc>
          <w:tcPr>
            <w:tcW w:type="dxa" w:w="8391"/>
          </w:tcPr>
          <w:p>
            <w:r>
              <w:rPr>
                <w:rFonts w:ascii="Arial" w:hAnsi="Arial"/>
                <w:b w:val="0"/>
                <w:i w:val="0"/>
                <w:sz w:val="19"/>
              </w:rPr>
              <w:t>¿Cuál es el papel del sistema de IA en este protocolo?</w:t>
            </w:r>
          </w:p>
          <w:p>
            <w:r>
              <w:rPr>
                <w:rFonts w:ascii="Arial" w:hAnsi="Arial"/>
                <w:b w:val="0"/>
                <w:i w:val="0"/>
                <w:color w:val="555555"/>
                <w:sz w:val="17"/>
              </w:rPr>
              <w:t>La IA como objeto de desarrollo eleva los riesgos de reutilización, inferencia y gobernanza. El CEP registra la distinción en el dictamen; la modulación del nivel de riesgo, de adoptarse algún día, exigirá una validación propia.</w:t>
            </w:r>
          </w:p>
        </w:tc>
      </w:tr>
      <w:tr>
        <w:tc>
          <w:tcPr>
            <w:tcW w:type="dxa" w:w="1247"/>
          </w:tcPr>
          <w:p>
            <w:r>
              <w:rPr>
                <w:rFonts w:ascii="Arial" w:hAnsi="Arial"/>
                <w:b/>
                <w:i w:val="0"/>
                <w:sz w:val="19"/>
              </w:rPr>
              <w:t>C.7</w:t>
            </w:r>
          </w:p>
        </w:tc>
        <w:tc>
          <w:tcPr>
            <w:tcW w:type="dxa" w:w="8391"/>
          </w:tcPr>
          <w:p>
            <w:r>
              <w:rPr>
                <w:rFonts w:ascii="Arial" w:hAnsi="Arial"/>
                <w:b w:val="0"/>
                <w:i w:val="0"/>
                <w:sz w:val="19"/>
              </w:rPr>
              <w:t>¿Cuál es el destino previsto del modelo de IA utilizado o desarrollado en este protocolo?</w:t>
            </w:r>
          </w:p>
          <w:p>
            <w:r>
              <w:rPr>
                <w:rFonts w:ascii="Arial" w:hAnsi="Arial"/>
                <w:b w:val="0"/>
                <w:i w:val="0"/>
                <w:color w:val="555555"/>
                <w:sz w:val="17"/>
              </w:rPr>
              <w:t>Si el destino es un uso futuro/amplio o la compartición, léase en conjunto con 3.3/P6.4 (consentimiento para entrenamiento) y con el Eje 3.b / Bloque 6.b.</w:t>
            </w:r>
          </w:p>
        </w:tc>
      </w:tr>
      <w:tr>
        <w:tc>
          <w:tcPr>
            <w:tcW w:type="dxa" w:w="1247"/>
          </w:tcPr>
          <w:p>
            <w:r>
              <w:rPr>
                <w:rFonts w:ascii="Arial" w:hAnsi="Arial"/>
                <w:b/>
                <w:i w:val="0"/>
                <w:sz w:val="19"/>
              </w:rPr>
              <w:t>C.8</w:t>
            </w:r>
          </w:p>
        </w:tc>
        <w:tc>
          <w:tcPr>
            <w:tcW w:type="dxa" w:w="8391"/>
          </w:tcPr>
          <w:p>
            <w:r>
              <w:rPr>
                <w:rFonts w:ascii="Arial" w:hAnsi="Arial"/>
                <w:b w:val="0"/>
                <w:i w:val="0"/>
                <w:sz w:val="19"/>
              </w:rPr>
              <w:t>¿Habrá compartición del banco de datos, total o parcial, con terceros además de las instituciones participantes del protocolo?</w:t>
            </w:r>
          </w:p>
          <w:p>
            <w:r>
              <w:rPr>
                <w:rFonts w:ascii="Arial" w:hAnsi="Arial"/>
                <w:b w:val="0"/>
                <w:i w:val="0"/>
                <w:color w:val="555555"/>
                <w:sz w:val="17"/>
              </w:rPr>
              <w:t>Si hay compartición, léase en conjunto con 3.b.5/P6.b.5 (acuerdo formal) y 3.2/P6.2 (transferencia internacional).</w:t>
            </w:r>
          </w:p>
        </w:tc>
      </w:tr>
    </w:tbl>
    <w:p>
      <w:pPr>
        <w:spacing w:before="200" w:after="80"/>
      </w:pPr>
      <w:r>
        <w:rPr>
          <w:rFonts w:ascii="Arial" w:hAnsi="Arial"/>
          <w:b/>
          <w:i w:val="0"/>
          <w:color w:val="0F766E"/>
          <w:sz w:val="25"/>
        </w:rPr>
        <w:t>Puntos de corte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D5E8F0"/>
          </w:tcPr>
          <w:p>
            <w:r>
              <w:rPr>
                <w:rFonts w:ascii="Arial" w:hAnsi="Arial"/>
                <w:b/>
                <w:i w:val="0"/>
                <w:sz w:val="19"/>
              </w:rPr>
              <w:t>Escenario</w:t>
            </w:r>
          </w:p>
        </w:tc>
        <w:tc>
          <w:tcPr>
            <w:tcW w:type="dxa" w:w="1569"/>
            <w:shd w:val="clear" w:color="auto" w:fill="D5E8F0"/>
          </w:tcPr>
          <w:p>
            <w:r>
              <w:rPr>
                <w:rFonts w:ascii="Arial" w:hAnsi="Arial"/>
                <w:b/>
                <w:i w:val="0"/>
                <w:sz w:val="19"/>
              </w:rPr>
              <w:t>Máx.</w:t>
            </w:r>
          </w:p>
        </w:tc>
        <w:tc>
          <w:tcPr>
            <w:tcW w:type="dxa" w:w="1569"/>
            <w:shd w:val="clear" w:color="auto" w:fill="D5E8F0"/>
          </w:tcPr>
          <w:p>
            <w:r>
              <w:rPr>
                <w:rFonts w:ascii="Arial" w:hAnsi="Arial"/>
                <w:b/>
                <w:i w:val="0"/>
                <w:sz w:val="19"/>
              </w:rPr>
              <w:t>Nivel I</w:t>
            </w:r>
          </w:p>
        </w:tc>
        <w:tc>
          <w:tcPr>
            <w:tcW w:type="dxa" w:w="1569"/>
            <w:shd w:val="clear" w:color="auto" w:fill="D5E8F0"/>
          </w:tcPr>
          <w:p>
            <w:r>
              <w:rPr>
                <w:rFonts w:ascii="Arial" w:hAnsi="Arial"/>
                <w:b/>
                <w:i w:val="0"/>
                <w:sz w:val="19"/>
              </w:rPr>
              <w:t>Nivel II</w:t>
            </w:r>
          </w:p>
        </w:tc>
        <w:tc>
          <w:tcPr>
            <w:tcW w:type="dxa" w:w="1569"/>
            <w:shd w:val="clear" w:color="auto" w:fill="D5E8F0"/>
          </w:tcPr>
          <w:p>
            <w:r>
              <w:rPr>
                <w:rFonts w:ascii="Arial" w:hAnsi="Arial"/>
                <w:b/>
                <w:i w:val="0"/>
                <w:sz w:val="19"/>
              </w:rPr>
              <w:t>Nivel III</w:t>
            </w:r>
          </w:p>
        </w:tc>
        <w:tc>
          <w:tcPr>
            <w:tcW w:type="dxa" w:w="1569"/>
            <w:shd w:val="clear" w:color="auto" w:fill="D5E8F0"/>
          </w:tcPr>
          <w:p>
            <w:r>
              <w:rPr>
                <w:rFonts w:ascii="Arial" w:hAnsi="Arial"/>
                <w:b/>
                <w:i w:val="0"/>
                <w:sz w:val="19"/>
              </w:rPr>
              <w:t>Nivel IV</w:t>
            </w:r>
          </w:p>
        </w:tc>
      </w:tr>
      <w:tr>
        <w:tc>
          <w:tcPr>
            <w:tcW w:type="dxa" w:w="1569"/>
          </w:tcPr>
          <w:p>
            <w:r>
              <w:rPr>
                <w:rFonts w:ascii="Arial" w:hAnsi="Arial"/>
                <w:b/>
                <w:i w:val="0"/>
                <w:sz w:val="19"/>
              </w:rPr>
              <w:t>Sin banco de datos</w:t>
            </w:r>
          </w:p>
        </w:tc>
        <w:tc>
          <w:tcPr>
            <w:tcW w:type="dxa" w:w="1569"/>
          </w:tcPr>
          <w:p>
            <w:r>
              <w:rPr>
                <w:rFonts w:ascii="Arial" w:hAnsi="Arial"/>
                <w:b w:val="0"/>
                <w:i w:val="0"/>
                <w:sz w:val="19"/>
              </w:rPr>
              <w:t>275</w:t>
            </w:r>
          </w:p>
        </w:tc>
        <w:tc>
          <w:tcPr>
            <w:tcW w:type="dxa" w:w="1569"/>
          </w:tcPr>
          <w:p>
            <w:r>
              <w:rPr>
                <w:rFonts w:ascii="Arial" w:hAnsi="Arial"/>
                <w:b w:val="0"/>
                <w:i w:val="0"/>
                <w:sz w:val="19"/>
              </w:rPr>
              <w:t>0 a 58</w:t>
            </w:r>
          </w:p>
        </w:tc>
        <w:tc>
          <w:tcPr>
            <w:tcW w:type="dxa" w:w="1569"/>
          </w:tcPr>
          <w:p>
            <w:r>
              <w:rPr>
                <w:rFonts w:ascii="Arial" w:hAnsi="Arial"/>
                <w:b w:val="0"/>
                <w:i w:val="0"/>
                <w:sz w:val="19"/>
              </w:rPr>
              <w:t>59 a 127</w:t>
            </w:r>
          </w:p>
        </w:tc>
        <w:tc>
          <w:tcPr>
            <w:tcW w:type="dxa" w:w="1569"/>
          </w:tcPr>
          <w:p>
            <w:r>
              <w:rPr>
                <w:rFonts w:ascii="Arial" w:hAnsi="Arial"/>
                <w:b w:val="0"/>
                <w:i w:val="0"/>
                <w:sz w:val="19"/>
              </w:rPr>
              <w:t>128 a 208</w:t>
            </w:r>
          </w:p>
        </w:tc>
        <w:tc>
          <w:tcPr>
            <w:tcW w:type="dxa" w:w="1569"/>
          </w:tcPr>
          <w:p>
            <w:r>
              <w:rPr>
                <w:rFonts w:ascii="Arial" w:hAnsi="Arial"/>
                <w:b w:val="0"/>
                <w:i w:val="0"/>
                <w:sz w:val="19"/>
              </w:rPr>
              <w:t>≥ 209</w:t>
            </w:r>
          </w:p>
        </w:tc>
      </w:tr>
      <w:tr>
        <w:tc>
          <w:tcPr>
            <w:tcW w:type="dxa" w:w="1569"/>
          </w:tcPr>
          <w:p>
            <w:r>
              <w:rPr>
                <w:rFonts w:ascii="Arial" w:hAnsi="Arial"/>
                <w:b/>
                <w:i w:val="0"/>
                <w:sz w:val="19"/>
              </w:rPr>
              <w:t>Con banco (Bloque 6.b)</w:t>
            </w:r>
          </w:p>
        </w:tc>
        <w:tc>
          <w:tcPr>
            <w:tcW w:type="dxa" w:w="1569"/>
          </w:tcPr>
          <w:p>
            <w:r>
              <w:rPr>
                <w:rFonts w:ascii="Arial" w:hAnsi="Arial"/>
                <w:b w:val="0"/>
                <w:i w:val="0"/>
                <w:sz w:val="19"/>
              </w:rPr>
              <w:t>304</w:t>
            </w:r>
          </w:p>
        </w:tc>
        <w:tc>
          <w:tcPr>
            <w:tcW w:type="dxa" w:w="1569"/>
          </w:tcPr>
          <w:p>
            <w:r>
              <w:rPr>
                <w:rFonts w:ascii="Arial" w:hAnsi="Arial"/>
                <w:b w:val="0"/>
                <w:i w:val="0"/>
                <w:sz w:val="19"/>
              </w:rPr>
              <w:t>0 a 64</w:t>
            </w:r>
          </w:p>
        </w:tc>
        <w:tc>
          <w:tcPr>
            <w:tcW w:type="dxa" w:w="1569"/>
          </w:tcPr>
          <w:p>
            <w:r>
              <w:rPr>
                <w:rFonts w:ascii="Arial" w:hAnsi="Arial"/>
                <w:b w:val="0"/>
                <w:i w:val="0"/>
                <w:sz w:val="19"/>
              </w:rPr>
              <w:t>65 a 141</w:t>
            </w:r>
          </w:p>
        </w:tc>
        <w:tc>
          <w:tcPr>
            <w:tcW w:type="dxa" w:w="1569"/>
          </w:tcPr>
          <w:p>
            <w:r>
              <w:rPr>
                <w:rFonts w:ascii="Arial" w:hAnsi="Arial"/>
                <w:b w:val="0"/>
                <w:i w:val="0"/>
                <w:sz w:val="19"/>
              </w:rPr>
              <w:t>142 a 230</w:t>
            </w:r>
          </w:p>
        </w:tc>
        <w:tc>
          <w:tcPr>
            <w:tcW w:type="dxa" w:w="1569"/>
          </w:tcPr>
          <w:p>
            <w:r>
              <w:rPr>
                <w:rFonts w:ascii="Arial" w:hAnsi="Arial"/>
                <w:b w:val="0"/>
                <w:i w:val="0"/>
                <w:sz w:val="19"/>
              </w:rPr>
              <w:t>≥ 231</w:t>
            </w:r>
          </w:p>
        </w:tc>
      </w:tr>
    </w:tbl>
    <w:p>
      <w:pPr>
        <w:spacing w:after="120"/>
      </w:pPr>
      <w:r>
        <w:rPr>
          <w:rFonts w:ascii="Arial" w:hAnsi="Arial"/>
          <w:b w:val="0"/>
          <w:i/>
          <w:color w:val="555555"/>
          <w:sz w:val="17"/>
        </w:rPr>
        <w:t>Con banco de datos, el techo teórico es 304 y el techo evaluable es 297 (descontada la pregunta eliminatoria P6.b.2). Los cortes derivan de las fracciones fijas de la línea de base 238 (50/238, 110/238, 180/238) aplicadas al techo teórico vigente, con redondeo de media unidad hacia arriba. La calibración definitiva es prospectiva.</w:t>
      </w:r>
    </w:p>
    <w:p>
      <w:pPr>
        <w:spacing w:before="200" w:after="80"/>
      </w:pPr>
      <w:r>
        <w:rPr>
          <w:rFonts w:ascii="Arial" w:hAnsi="Arial"/>
          <w:b/>
          <w:i w:val="0"/>
          <w:color w:val="0F766E"/>
          <w:sz w:val="25"/>
        </w:rPr>
        <w:t>2. Preguntas por bloque</w:t>
      </w:r>
    </w:p>
    <w:p>
      <w:pPr>
        <w:spacing w:before="200" w:after="80"/>
      </w:pPr>
      <w:r>
        <w:rPr>
          <w:rFonts w:ascii="Arial" w:hAnsi="Arial"/>
          <w:b/>
          <w:i w:val="0"/>
          <w:color w:val="0F766E"/>
          <w:sz w:val="25"/>
        </w:rPr>
        <w:t>Bloque 1: Proyecto (máx. 22 pts)</w:t>
      </w:r>
    </w:p>
    <w:p>
      <w:pPr>
        <w:spacing w:after="120"/>
      </w:pPr>
      <w:r>
        <w:rPr>
          <w:rFonts w:ascii="Arial" w:hAnsi="Arial"/>
          <w:b w:val="0"/>
          <w:i w:val="0"/>
          <w:color w:val="555555"/>
          <w:sz w:val="19"/>
        </w:rPr>
        <w:t>Evalúa la calidad de la documentación del protocolo y la preparación del equipo para el uso del sistema de IA.</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P1.1</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+3 pts</w:t>
            </w:r>
          </w:p>
        </w:tc>
        <w:tc>
          <w:tcPr>
            <w:tcW w:type="dxa" w:w="7030"/>
          </w:tcPr>
          <w:p>
            <w:r>
              <w:rPr>
                <w:rFonts w:ascii="Arial" w:hAnsi="Arial"/>
                <w:b/>
                <w:i w:val="0"/>
                <w:sz w:val="19"/>
              </w:rPr>
              <w:t>¿El protocolo describe con precisión el sistema de IA utilizado — nombre, versión, fabricante o desarrollador, y finalidad?</w:t>
            </w:r>
          </w:p>
          <w:p>
            <w:r>
              <w:rPr>
                <w:rFonts w:ascii="Arial" w:hAnsi="Arial"/>
                <w:b/>
                <w:i w:val="0"/>
                <w:sz w:val="18"/>
              </w:rPr>
              <w:t xml:space="preserve">Orientación. </w:t>
            </w:r>
            <w:r>
              <w:rPr>
                <w:rFonts w:ascii="Arial" w:hAnsi="Arial"/>
                <w:b w:val="0"/>
                <w:i w:val="0"/>
                <w:sz w:val="18"/>
              </w:rPr>
              <w:t>La descripción precisa del sistema (nombre, versión, fabricante/desarrollador, finalidad) es la base para la evaluación ética y para la responsabilización; sin ella, no hay qué auditar.</w:t>
            </w:r>
          </w:p>
        </w:tc>
      </w:tr>
      <w:tr>
        <w:tc>
          <w:tcPr>
            <w:tcW w:type="dxa" w:w="2608"/>
          </w:tcPr>
          <w:p>
            <w:r>
              <w:rPr>
                <w:rFonts w:ascii="Arial" w:hAnsi="Arial"/>
                <w:b/>
                <w:i w:val="0"/>
                <w:sz w:val="19"/>
              </w:rPr>
              <w:t>P1.2</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+3 pts</w:t>
            </w:r>
          </w:p>
        </w:tc>
        <w:tc>
          <w:tcPr>
            <w:tcW w:type="dxa" w:w="7030"/>
          </w:tcPr>
          <w:p>
            <w:r>
              <w:rPr>
                <w:rFonts w:ascii="Arial" w:hAnsi="Arial"/>
                <w:b/>
                <w:i w:val="0"/>
                <w:sz w:val="19"/>
              </w:rPr>
              <w:t>¿El protocolo justifica la elección del sistema de IA en relación con alternativas metodológicas disponibles?</w:t>
            </w:r>
          </w:p>
          <w:p>
            <w:r>
              <w:rPr>
                <w:rFonts w:ascii="Arial" w:hAnsi="Arial"/>
                <w:b/>
                <w:i w:val="0"/>
                <w:sz w:val="18"/>
              </w:rPr>
              <w:t xml:space="preserve">Orientación. </w:t>
            </w:r>
            <w:r>
              <w:rPr>
                <w:rFonts w:ascii="Arial" w:hAnsi="Arial"/>
                <w:b w:val="0"/>
                <w:i w:val="0"/>
                <w:sz w:val="18"/>
              </w:rPr>
              <w:t>Justificar la elección del sistema frente a alternativas metodológicas demuestra que el uso de IA es necesario y proporcional, no arbitrario.</w:t>
            </w:r>
          </w:p>
        </w:tc>
      </w:tr>
      <w:tr>
        <w:tc>
          <w:tcPr>
            <w:tcW w:type="dxa" w:w="2608"/>
          </w:tcPr>
          <w:p>
            <w:r>
              <w:rPr>
                <w:rFonts w:ascii="Arial" w:hAnsi="Arial"/>
                <w:b/>
                <w:i w:val="0"/>
                <w:sz w:val="19"/>
              </w:rPr>
              <w:t>P1.3</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+3 pts</w:t>
            </w:r>
          </w:p>
        </w:tc>
        <w:tc>
          <w:tcPr>
            <w:tcW w:type="dxa" w:w="7030"/>
          </w:tcPr>
          <w:p>
            <w:r>
              <w:rPr>
                <w:rFonts w:ascii="Arial" w:hAnsi="Arial"/>
                <w:b/>
                <w:i w:val="0"/>
                <w:sz w:val="19"/>
              </w:rPr>
              <w:t>¿El equipo responsable incluye al menos un miembro con competencia técnica para interpretar los resultados del sistema e identificar fallas?</w:t>
            </w:r>
          </w:p>
          <w:p>
            <w:r>
              <w:rPr>
                <w:rFonts w:ascii="Arial" w:hAnsi="Arial"/>
                <w:b/>
                <w:i w:val="0"/>
                <w:sz w:val="18"/>
              </w:rPr>
              <w:t xml:space="preserve">Orientación. </w:t>
            </w:r>
            <w:r>
              <w:rPr>
                <w:rFonts w:ascii="Arial" w:hAnsi="Arial"/>
                <w:b w:val="0"/>
                <w:i w:val="0"/>
                <w:sz w:val="18"/>
              </w:rPr>
              <w:t>Sin al menos un miembro con competencia técnica para interpretar resultados e identificar fallas, la supervisión del equipo es insuficiente.</w:t>
            </w:r>
          </w:p>
        </w:tc>
      </w:tr>
      <w:tr>
        <w:tc>
          <w:tcPr>
            <w:tcW w:type="dxa" w:w="2608"/>
          </w:tcPr>
          <w:p>
            <w:r>
              <w:rPr>
                <w:rFonts w:ascii="Arial" w:hAnsi="Arial"/>
                <w:b/>
                <w:i w:val="0"/>
                <w:sz w:val="19"/>
              </w:rPr>
              <w:t>P1.4</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+3 pts</w:t>
            </w:r>
          </w:p>
        </w:tc>
        <w:tc>
          <w:tcPr>
            <w:tcW w:type="dxa" w:w="7030"/>
          </w:tcPr>
          <w:p>
            <w:r>
              <w:rPr>
                <w:rFonts w:ascii="Arial" w:hAnsi="Arial"/>
                <w:b/>
                <w:i w:val="0"/>
                <w:sz w:val="19"/>
              </w:rPr>
              <w:t>¿El protocolo describe la etapa de desarrollo del sistema — Descubrimiento (Discovery), Traslación (Translation) o Implementación (Deployment)?</w:t>
            </w:r>
          </w:p>
          <w:p>
            <w:r>
              <w:rPr>
                <w:rFonts w:ascii="Arial" w:hAnsi="Arial"/>
                <w:b/>
                <w:i w:val="0"/>
                <w:sz w:val="18"/>
              </w:rPr>
              <w:t xml:space="preserve">Orientación. </w:t>
            </w:r>
            <w:r>
              <w:rPr>
                <w:rFonts w:ascii="Arial" w:hAnsi="Arial"/>
                <w:b w:val="0"/>
                <w:i w:val="0"/>
                <w:sz w:val="18"/>
              </w:rPr>
              <w:t>Informar la etapa de desarrollo (Descubrimiento, Traslación o Implementación) es lo que permite calibrar la incertidumbre esperada sobre el desempeño del sistema.</w:t>
            </w:r>
          </w:p>
        </w:tc>
      </w:tr>
      <w:tr>
        <w:tc>
          <w:tcPr>
            <w:tcW w:type="dxa" w:w="2608"/>
          </w:tcPr>
          <w:p>
            <w:r>
              <w:rPr>
                <w:rFonts w:ascii="Arial" w:hAnsi="Arial"/>
                <w:b/>
                <w:i w:val="0"/>
                <w:sz w:val="19"/>
              </w:rPr>
              <w:t>P1.5</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+3 pts</w:t>
            </w:r>
          </w:p>
        </w:tc>
        <w:tc>
          <w:tcPr>
            <w:tcW w:type="dxa" w:w="7030"/>
          </w:tcPr>
          <w:p>
            <w:r>
              <w:rPr>
                <w:rFonts w:ascii="Arial" w:hAnsi="Arial"/>
                <w:b/>
                <w:i w:val="0"/>
                <w:sz w:val="19"/>
              </w:rPr>
              <w:t>¿El protocolo presenta el contexto de uso definido — papel del sistema, alcance de la decisión y fuentes de evidencia complementarias?</w:t>
            </w:r>
          </w:p>
          <w:p>
            <w:r>
              <w:rPr>
                <w:rFonts w:ascii="Arial" w:hAnsi="Arial"/>
                <w:b/>
                <w:i w:val="0"/>
                <w:sz w:val="18"/>
              </w:rPr>
              <w:t xml:space="preserve">Orientación. </w:t>
            </w:r>
            <w:r>
              <w:rPr>
                <w:rFonts w:ascii="Arial" w:hAnsi="Arial"/>
                <w:b w:val="0"/>
                <w:i w:val="0"/>
                <w:sz w:val="18"/>
              </w:rPr>
              <w:t>Delimitar el papel del sistema, el alcance de la decisión y las fuentes de evidencia complementarias es lo que define el alcance y los riesgos del uso; sin ello, el uso queda indefinido.</w:t>
            </w:r>
          </w:p>
        </w:tc>
      </w:tr>
      <w:tr>
        <w:tc>
          <w:tcPr>
            <w:tcW w:type="dxa" w:w="2608"/>
          </w:tcPr>
          <w:p>
            <w:r>
              <w:rPr>
                <w:rFonts w:ascii="Arial" w:hAnsi="Arial"/>
                <w:b/>
                <w:i w:val="0"/>
                <w:sz w:val="19"/>
              </w:rPr>
              <w:t>P1.6</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+3 pts</w:t>
            </w:r>
          </w:p>
        </w:tc>
        <w:tc>
          <w:tcPr>
            <w:tcW w:type="dxa" w:w="7030"/>
          </w:tcPr>
          <w:p>
            <w:r>
              <w:rPr>
                <w:rFonts w:ascii="Arial" w:hAnsi="Arial"/>
                <w:b/>
                <w:i w:val="0"/>
                <w:sz w:val="19"/>
              </w:rPr>
              <w:t>¿El TCLE menciona de forma comprensible que un sistema de IA será utilizado y cuál es su papel en el estudio?</w:t>
            </w:r>
          </w:p>
          <w:p>
            <w:r>
              <w:rPr>
                <w:rFonts w:ascii="Arial" w:hAnsi="Arial"/>
                <w:b/>
                <w:i w:val="0"/>
                <w:sz w:val="18"/>
              </w:rPr>
              <w:t xml:space="preserve">Orientación. </w:t>
            </w:r>
            <w:r>
              <w:rPr>
                <w:rFonts w:ascii="Arial" w:hAnsi="Arial"/>
                <w:b w:val="0"/>
                <w:i w:val="0"/>
                <w:sz w:val="18"/>
              </w:rPr>
              <w:t>Mencionar en el TCLE, de forma comprensible, que un sistema de IA será usado y cuál es su papel es un requisito ético de transparencia y autonomía.</w:t>
            </w:r>
          </w:p>
        </w:tc>
      </w:tr>
      <w:tr>
        <w:tc>
          <w:tcPr>
            <w:tcW w:type="dxa" w:w="2608"/>
          </w:tcPr>
          <w:p>
            <w:r>
              <w:rPr>
                <w:rFonts w:ascii="Arial" w:hAnsi="Arial"/>
                <w:b/>
                <w:i w:val="0"/>
                <w:sz w:val="19"/>
              </w:rPr>
              <w:t>P1.7</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+4 pts</w:t>
            </w:r>
          </w:p>
        </w:tc>
        <w:tc>
          <w:tcPr>
            <w:tcW w:type="dxa" w:w="7030"/>
          </w:tcPr>
          <w:p>
            <w:r>
              <w:rPr>
                <w:rFonts w:ascii="Arial" w:hAnsi="Arial"/>
                <w:b/>
                <w:i w:val="0"/>
                <w:sz w:val="19"/>
              </w:rPr>
              <w:t>¿El protocolo fue sometido a consulta o dictamen técnico externo sobre el uso del sistema de IA?</w:t>
            </w:r>
          </w:p>
          <w:p>
            <w:r>
              <w:rPr>
                <w:rFonts w:ascii="Arial" w:hAnsi="Arial"/>
                <w:b/>
                <w:i w:val="0"/>
                <w:sz w:val="18"/>
              </w:rPr>
              <w:t xml:space="preserve">Orientación. </w:t>
            </w:r>
            <w:r>
              <w:rPr>
                <w:rFonts w:ascii="Arial" w:hAnsi="Arial"/>
                <w:b w:val="0"/>
                <w:i w:val="0"/>
                <w:sz w:val="18"/>
              </w:rPr>
              <w:t>Un dictamen técnico externo añade una capa de verificación independiente sobre el uso del sistema, reduciendo puntos ciegos del equipo proponente.</w:t>
            </w:r>
          </w:p>
        </w:tc>
      </w:tr>
    </w:tbl>
    <w:p>
      <w:pPr>
        <w:spacing w:before="200" w:after="80"/>
      </w:pPr>
      <w:r>
        <w:rPr>
          <w:rFonts w:ascii="Arial" w:hAnsi="Arial"/>
          <w:b/>
          <w:i w:val="0"/>
          <w:color w:val="0F766E"/>
          <w:sz w:val="25"/>
        </w:rPr>
        <w:t>Bloque 2: Sistema (máx. 17 pts)</w:t>
      </w:r>
    </w:p>
    <w:p>
      <w:pPr>
        <w:spacing w:after="120"/>
      </w:pPr>
      <w:r>
        <w:rPr>
          <w:rFonts w:ascii="Arial" w:hAnsi="Arial"/>
          <w:b w:val="0"/>
          <w:i w:val="0"/>
          <w:color w:val="555555"/>
          <w:sz w:val="19"/>
        </w:rPr>
        <w:t>Evalúa las características técnicas del sistema de IA, incluyendo autonomía, adaptabilidad y transparencia.</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P2.1</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+3 pts</w:t>
            </w:r>
          </w:p>
        </w:tc>
        <w:tc>
          <w:tcPr>
            <w:tcW w:type="dxa" w:w="7030"/>
          </w:tcPr>
          <w:p>
            <w:r>
              <w:rPr>
                <w:rFonts w:ascii="Arial" w:hAnsi="Arial"/>
                <w:b/>
                <w:i w:val="0"/>
                <w:sz w:val="19"/>
              </w:rPr>
              <w:t>¿El sistema toma decisiones o emite recomendaciones sin intervención humana obligatoria antes de la ejecución?</w:t>
            </w:r>
          </w:p>
          <w:p>
            <w:r>
              <w:rPr>
                <w:rFonts w:ascii="Arial" w:hAnsi="Arial"/>
                <w:b/>
                <w:i w:val="0"/>
                <w:sz w:val="18"/>
              </w:rPr>
              <w:t xml:space="preserve">Orientación. </w:t>
            </w:r>
            <w:r>
              <w:rPr>
                <w:rFonts w:ascii="Arial" w:hAnsi="Arial"/>
                <w:b w:val="0"/>
                <w:i w:val="0"/>
                <w:sz w:val="18"/>
              </w:rPr>
              <w:t>Los sistemas que deciden o recomiendan sin intervención humana obligatoria antes de la ejecución elevan el riesgo, pues eliminan la barrera de seguridad entre recomendación y acción.</w:t>
            </w:r>
          </w:p>
        </w:tc>
      </w:tr>
      <w:tr>
        <w:tc>
          <w:tcPr>
            <w:tcW w:type="dxa" w:w="2608"/>
          </w:tcPr>
          <w:p>
            <w:r>
              <w:rPr>
                <w:rFonts w:ascii="Arial" w:hAnsi="Arial"/>
                <w:b/>
                <w:i w:val="0"/>
                <w:sz w:val="19"/>
              </w:rPr>
              <w:t>P2.2</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+3 pts</w:t>
            </w:r>
          </w:p>
        </w:tc>
        <w:tc>
          <w:tcPr>
            <w:tcW w:type="dxa" w:w="7030"/>
          </w:tcPr>
          <w:p>
            <w:r>
              <w:rPr>
                <w:rFonts w:ascii="Arial" w:hAnsi="Arial"/>
                <w:b/>
                <w:i w:val="0"/>
                <w:sz w:val="19"/>
              </w:rPr>
              <w:t>¿El sistema es adaptativo — aprende o se actualiza con nuevos datos durante la conducción del estudio o después de su finalización?</w:t>
            </w:r>
          </w:p>
          <w:p>
            <w:r>
              <w:rPr>
                <w:rFonts w:ascii="Arial" w:hAnsi="Arial"/>
                <w:b/>
                <w:i w:val="0"/>
                <w:sz w:val="18"/>
              </w:rPr>
              <w:t xml:space="preserve">Orientación. </w:t>
            </w:r>
            <w:r>
              <w:rPr>
                <w:rFonts w:ascii="Arial" w:hAnsi="Arial"/>
                <w:b w:val="0"/>
                <w:i w:val="0"/>
                <w:sz w:val="18"/>
              </w:rPr>
              <w:t>Los sistemas adaptativos pueden cambiar de comportamiento al aprender con nuevos datos durante el estudio, introduciendo incertidumbre sobre los resultados generados. Un sistema adaptativo altera, durante el estudio, el propio objeto sobre el cual la persona participante consintió. El protocolo debe definir un umbral de cambio (de desempeño o de comportamiento del sistema) que, al ser superado, dispara la obtención de nuevo consentimiento y la comunicación al CEP. Sin ese plan, el consentimiento obtenido al inicio pierde validez continua (Ley n.º 14.874/2024 — consentimiento previo; LGPD — autodeterminación informativa). Nota: la verificación abarca actualizaciones, recalibraciones y sustituciones del sistema, durante el estudio o después de su finalización; si el aprendizaje continúa después de la finalización, verificar 5.8/P7.7 (reentrenamiento autorizado) y el plan de nuevo consentimiento (2.10/P2.8).</w:t>
            </w:r>
          </w:p>
        </w:tc>
      </w:tr>
      <w:tr>
        <w:tc>
          <w:tcPr>
            <w:tcW w:type="dxa" w:w="2608"/>
          </w:tcPr>
          <w:p>
            <w:r>
              <w:rPr>
                <w:rFonts w:ascii="Arial" w:hAnsi="Arial"/>
                <w:b/>
                <w:i w:val="0"/>
                <w:sz w:val="19"/>
              </w:rPr>
              <w:t>P2.3</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+3 pts</w:t>
            </w:r>
          </w:p>
        </w:tc>
        <w:tc>
          <w:tcPr>
            <w:tcW w:type="dxa" w:w="7030"/>
          </w:tcPr>
          <w:p>
            <w:r>
              <w:rPr>
                <w:rFonts w:ascii="Arial" w:hAnsi="Arial"/>
                <w:b/>
                <w:i w:val="0"/>
                <w:sz w:val="19"/>
              </w:rPr>
              <w:t>¿El sistema opera como caja negra: sin posibilidad de explicar los factores que determinaron cada resultado?</w:t>
            </w:r>
          </w:p>
          <w:p>
            <w:r>
              <w:rPr>
                <w:rFonts w:ascii="Arial" w:hAnsi="Arial"/>
                <w:b/>
                <w:i w:val="0"/>
                <w:sz w:val="18"/>
              </w:rPr>
              <w:t xml:space="preserve">Orientación. </w:t>
            </w:r>
            <w:r>
              <w:rPr>
                <w:rFonts w:ascii="Arial" w:hAnsi="Arial"/>
                <w:b w:val="0"/>
                <w:i w:val="0"/>
                <w:sz w:val="18"/>
              </w:rPr>
              <w:t>Los sistemas de caja negra, sin explicación de los factores de cada resultado, impiden una supervisión eficaz y la identificación de sesgos.</w:t>
            </w:r>
          </w:p>
        </w:tc>
      </w:tr>
      <w:tr>
        <w:tc>
          <w:tcPr>
            <w:tcW w:type="dxa" w:w="2608"/>
          </w:tcPr>
          <w:p>
            <w:r>
              <w:rPr>
                <w:rFonts w:ascii="Arial" w:hAnsi="Arial"/>
                <w:b/>
                <w:i w:val="0"/>
                <w:sz w:val="19"/>
              </w:rPr>
              <w:t>P2.4</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+2 pts</w:t>
            </w:r>
          </w:p>
        </w:tc>
        <w:tc>
          <w:tcPr>
            <w:tcW w:type="dxa" w:w="7030"/>
          </w:tcPr>
          <w:p>
            <w:r>
              <w:rPr>
                <w:rFonts w:ascii="Arial" w:hAnsi="Arial"/>
                <w:b/>
                <w:i w:val="0"/>
                <w:sz w:val="19"/>
              </w:rPr>
              <w:t>¿El sistema fue sometido a pruebas de desempeño documentadas antes del uso en el protocolo?</w:t>
            </w:r>
          </w:p>
          <w:p>
            <w:r>
              <w:rPr>
                <w:rFonts w:ascii="Arial" w:hAnsi="Arial"/>
                <w:b/>
                <w:i w:val="0"/>
                <w:sz w:val="18"/>
              </w:rPr>
              <w:t xml:space="preserve">Orientación. </w:t>
            </w:r>
            <w:r>
              <w:rPr>
                <w:rFonts w:ascii="Arial" w:hAnsi="Arial"/>
                <w:b w:val="0"/>
                <w:i w:val="0"/>
                <w:sz w:val="18"/>
              </w:rPr>
              <w:t>Sin pruebas de desempeño documentadas antes del uso, no hay evidencia de seguridad y eficacia en el contexto propuesto.</w:t>
            </w:r>
          </w:p>
        </w:tc>
      </w:tr>
      <w:tr>
        <w:tc>
          <w:tcPr>
            <w:tcW w:type="dxa" w:w="2608"/>
          </w:tcPr>
          <w:p>
            <w:r>
              <w:rPr>
                <w:rFonts w:ascii="Arial" w:hAnsi="Arial"/>
                <w:b/>
                <w:i w:val="0"/>
                <w:sz w:val="19"/>
              </w:rPr>
              <w:t>P2.5</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+2 pts</w:t>
            </w:r>
          </w:p>
        </w:tc>
        <w:tc>
          <w:tcPr>
            <w:tcW w:type="dxa" w:w="7030"/>
          </w:tcPr>
          <w:p>
            <w:r>
              <w:rPr>
                <w:rFonts w:ascii="Arial" w:hAnsi="Arial"/>
                <w:b/>
                <w:i w:val="0"/>
                <w:sz w:val="19"/>
              </w:rPr>
              <w:t>¿El sistema es explicable: proporciona, junto a cada resultado, una explicación comprensible sobre los factores que lo influyeron?</w:t>
            </w:r>
          </w:p>
          <w:p>
            <w:r>
              <w:rPr>
                <w:rFonts w:ascii="Arial" w:hAnsi="Arial"/>
                <w:b/>
                <w:i w:val="0"/>
                <w:sz w:val="18"/>
              </w:rPr>
              <w:t xml:space="preserve">Orientación. </w:t>
            </w:r>
            <w:r>
              <w:rPr>
                <w:rFonts w:ascii="Arial" w:hAnsi="Arial"/>
                <w:b w:val="0"/>
                <w:i w:val="0"/>
                <w:sz w:val="18"/>
              </w:rPr>
              <w:t>La explicación comprensible junto a cada resultado es lo que viabiliza una supervisión humana eficaz; su ausencia caracteriza el riesgo.</w:t>
            </w:r>
          </w:p>
        </w:tc>
      </w:tr>
      <w:tr>
        <w:tc>
          <w:tcPr>
            <w:tcW w:type="dxa" w:w="2608"/>
          </w:tcPr>
          <w:p>
            <w:r>
              <w:rPr>
                <w:rFonts w:ascii="Arial" w:hAnsi="Arial"/>
                <w:b/>
                <w:i w:val="0"/>
                <w:sz w:val="19"/>
              </w:rPr>
              <w:t>P2.6</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+2 pts</w:t>
            </w:r>
          </w:p>
        </w:tc>
        <w:tc>
          <w:tcPr>
            <w:tcW w:type="dxa" w:w="7030"/>
          </w:tcPr>
          <w:p>
            <w:r>
              <w:rPr>
                <w:rFonts w:ascii="Arial" w:hAnsi="Arial"/>
                <w:b/>
                <w:i w:val="0"/>
                <w:sz w:val="19"/>
              </w:rPr>
              <w:t>¿El protocolo define claramente qué ocurre cuando la decisión del sistema diverge del juicio humano?</w:t>
            </w:r>
          </w:p>
          <w:p>
            <w:r>
              <w:rPr>
                <w:rFonts w:ascii="Arial" w:hAnsi="Arial"/>
                <w:b/>
                <w:i w:val="0"/>
                <w:sz w:val="18"/>
              </w:rPr>
              <w:t xml:space="preserve">Orientación. </w:t>
            </w:r>
            <w:r>
              <w:rPr>
                <w:rFonts w:ascii="Arial" w:hAnsi="Arial"/>
                <w:b w:val="0"/>
                <w:i w:val="0"/>
                <w:sz w:val="18"/>
              </w:rPr>
              <w:t>Sin una regla para cuando la decisión del sistema diverge del juicio humano, se crea una zona gris de responsabilidad.</w:t>
            </w:r>
          </w:p>
        </w:tc>
      </w:tr>
      <w:tr>
        <w:tc>
          <w:tcPr>
            <w:tcW w:type="dxa" w:w="2608"/>
          </w:tcPr>
          <w:p>
            <w:r>
              <w:rPr>
                <w:rFonts w:ascii="Arial" w:hAnsi="Arial"/>
                <w:b/>
                <w:i w:val="0"/>
                <w:sz w:val="19"/>
              </w:rPr>
              <w:t>P2.7</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+2 pts</w:t>
            </w:r>
          </w:p>
        </w:tc>
        <w:tc>
          <w:tcPr>
            <w:tcW w:type="dxa" w:w="7030"/>
          </w:tcPr>
          <w:p>
            <w:r>
              <w:rPr>
                <w:rFonts w:ascii="Arial" w:hAnsi="Arial"/>
                <w:b/>
                <w:i w:val="0"/>
                <w:sz w:val="19"/>
              </w:rPr>
              <w:t>¿El protocolo describe la arquitectura del sistema — tipo de modelo, datos de entrada y salida, método de entrenamiento?</w:t>
            </w:r>
          </w:p>
          <w:p>
            <w:r>
              <w:rPr>
                <w:rFonts w:ascii="Arial" w:hAnsi="Arial"/>
                <w:b/>
                <w:i w:val="0"/>
                <w:sz w:val="18"/>
              </w:rPr>
              <w:t xml:space="preserve">Orientación. </w:t>
            </w:r>
            <w:r>
              <w:rPr>
                <w:rFonts w:ascii="Arial" w:hAnsi="Arial"/>
                <w:b w:val="0"/>
                <w:i w:val="0"/>
                <w:sz w:val="18"/>
              </w:rPr>
              <w:t>La descripción de la arquitectura (tipo de modelo, datos de entrada y salida, método de entrenamiento) es la base de la evaluación técnica; sin ella, el sistema no es auditable.</w:t>
            </w:r>
          </w:p>
        </w:tc>
      </w:tr>
      <w:tr>
        <w:tc>
          <w:tcPr>
            <w:tcW w:type="dxa" w:w="2608"/>
          </w:tcPr>
          <w:p>
            <w:r>
              <w:rPr>
                <w:rFonts w:ascii="Arial" w:hAnsi="Arial"/>
                <w:b/>
                <w:i w:val="0"/>
                <w:sz w:val="19"/>
              </w:rPr>
              <w:t>P2.8</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0 pts</w:t>
            </w:r>
          </w:p>
          <w:p>
            <w:r>
              <w:rPr>
                <w:rFonts w:ascii="Arial" w:hAnsi="Arial"/>
                <w:b w:val="0"/>
                <w:i/>
                <w:color w:val="555555"/>
                <w:sz w:val="16"/>
              </w:rPr>
              <w:t>admite «No se aplica»</w:t>
            </w:r>
          </w:p>
        </w:tc>
        <w:tc>
          <w:tcPr>
            <w:tcW w:type="dxa" w:w="7030"/>
          </w:tcPr>
          <w:p>
            <w:r>
              <w:rPr>
                <w:rFonts w:ascii="Arial" w:hAnsi="Arial"/>
                <w:b/>
                <w:i w:val="0"/>
                <w:sz w:val="19"/>
              </w:rPr>
              <w:t>Si el sistema es adaptativo (P2.2 = Sí): ¿el protocolo presenta un plan de nuevo consentimiento — con umbral definido, procedimiento y responsable — para el caso de que el sistema se actualice o cambie de comportamiento durante el estudio?</w:t>
            </w:r>
          </w:p>
          <w:p>
            <w:r>
              <w:rPr>
                <w:rFonts w:ascii="Arial" w:hAnsi="Arial"/>
                <w:b/>
                <w:i w:val="0"/>
                <w:sz w:val="18"/>
              </w:rPr>
              <w:t xml:space="preserve">Orientación. </w:t>
            </w:r>
            <w:r>
              <w:rPr>
                <w:rFonts w:ascii="Arial" w:hAnsi="Arial"/>
                <w:b w:val="0"/>
                <w:i w:val="0"/>
                <w:sz w:val="18"/>
              </w:rPr>
              <w:t>Un sistema adaptativo es aquel que continúa aprendiendo o cambia de comportamiento durante el estudio — por ejemplo, un modelo que se reajusta con nuevos datos (aprendizaje continuo), en vez de permanecer «congelado» tras la validación. Por qué nuevo consentimiento: la persona participante consintió con un sistema que funcionaba de cierto modo; si cambia de forma relevante, cambian los riesgos y la propia naturaleza de lo que se aceptó — entonces la autonomía exige informarla y obtener nuevo consentimiento. Por eso se pide un plan con umbral de cambio definido, procedimiento y responsable. Ítem de diligencia con efecto impeditivo (NO puntúa — no altera la puntuación ni el techo). Aplicable cuando el sistema es adaptativo (P2.2 = Sí); marque «No se aplica» cuando P2.2 = No. La obtención de nuevo consentimiento es una exigencia legal (Ley n.º 14.874/2024 — consentimiento previo; LGPD — autodeterminación informativa) y, por ello, no es compensable por puntos en el modelo aditivo. Ausente el plan, el dosier es devuelto para complementación (mismo mecanismo del Término de Anuencia ausente, P6.b.2); si persiste la falta, el protocolo no recibe dictamen de aprobación.</w:t>
            </w:r>
          </w:p>
        </w:tc>
      </w:tr>
    </w:tbl>
    <w:p>
      <w:pPr>
        <w:spacing w:before="200" w:after="80"/>
      </w:pPr>
      <w:r>
        <w:rPr>
          <w:rFonts w:ascii="Arial" w:hAnsi="Arial"/>
          <w:b/>
          <w:i w:val="0"/>
          <w:color w:val="0F766E"/>
          <w:sz w:val="25"/>
        </w:rPr>
        <w:t>Bloque 3: Algoritmo (máx. 14 pts)</w:t>
      </w:r>
    </w:p>
    <w:p>
      <w:pPr>
        <w:spacing w:after="120"/>
      </w:pPr>
      <w:r>
        <w:rPr>
          <w:rFonts w:ascii="Arial" w:hAnsi="Arial"/>
          <w:b w:val="0"/>
          <w:i w:val="0"/>
          <w:color w:val="555555"/>
          <w:sz w:val="19"/>
        </w:rPr>
        <w:t>Evalúa el origen y la representatividad de los datos de entrenamiento, así como la validación del modelo.</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P3.1</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+2 pts</w:t>
            </w:r>
          </w:p>
        </w:tc>
        <w:tc>
          <w:tcPr>
            <w:tcW w:type="dxa" w:w="7030"/>
          </w:tcPr>
          <w:p>
            <w:r>
              <w:rPr>
                <w:rFonts w:ascii="Arial" w:hAnsi="Arial"/>
                <w:b/>
                <w:i w:val="0"/>
                <w:sz w:val="19"/>
              </w:rPr>
              <w:t>¿El modelo fue desarrollado fuera de Brasil para uso en población brasileña sin validación local documentada?</w:t>
            </w:r>
          </w:p>
          <w:p>
            <w:r>
              <w:rPr>
                <w:rFonts w:ascii="Arial" w:hAnsi="Arial"/>
                <w:b/>
                <w:i w:val="0"/>
                <w:sz w:val="18"/>
              </w:rPr>
              <w:t xml:space="preserve">Orientación. </w:t>
            </w:r>
            <w:r>
              <w:rPr>
                <w:rFonts w:ascii="Arial" w:hAnsi="Arial"/>
                <w:b w:val="0"/>
                <w:i w:val="0"/>
                <w:sz w:val="18"/>
              </w:rPr>
              <w:t>Los modelos desarrollados fuera de Brasil y usados en población brasileña sin validación local pueden no ser adecuados a la realidad nacional.</w:t>
            </w:r>
          </w:p>
        </w:tc>
      </w:tr>
      <w:tr>
        <w:tc>
          <w:tcPr>
            <w:tcW w:type="dxa" w:w="2608"/>
          </w:tcPr>
          <w:p>
            <w:r>
              <w:rPr>
                <w:rFonts w:ascii="Arial" w:hAnsi="Arial"/>
                <w:b/>
                <w:i w:val="0"/>
                <w:sz w:val="19"/>
              </w:rPr>
              <w:t>P3.2</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+2 pts</w:t>
            </w:r>
          </w:p>
        </w:tc>
        <w:tc>
          <w:tcPr>
            <w:tcW w:type="dxa" w:w="7030"/>
          </w:tcPr>
          <w:p>
            <w:r>
              <w:rPr>
                <w:rFonts w:ascii="Arial" w:hAnsi="Arial"/>
                <w:b/>
                <w:i w:val="0"/>
                <w:sz w:val="19"/>
              </w:rPr>
              <w:t>¿Los datos de entrenamiento del modelo fueron recolectados predominantemente en poblaciones de altos ingresos o del hemisferio norte?</w:t>
            </w:r>
          </w:p>
          <w:p>
            <w:r>
              <w:rPr>
                <w:rFonts w:ascii="Arial" w:hAnsi="Arial"/>
                <w:b/>
                <w:i w:val="0"/>
                <w:sz w:val="18"/>
              </w:rPr>
              <w:t xml:space="preserve">Orientación. </w:t>
            </w:r>
            <w:r>
              <w:rPr>
                <w:rFonts w:ascii="Arial" w:hAnsi="Arial"/>
                <w:b w:val="0"/>
                <w:i w:val="0"/>
                <w:sz w:val="18"/>
              </w:rPr>
              <w:t>Los datos de entrenamiento de poblaciones de altos ingresos o del hemisferio norte pueden no representar el perfil socioeconómico y epidemiológico brasileño.</w:t>
            </w:r>
          </w:p>
        </w:tc>
      </w:tr>
      <w:tr>
        <w:tc>
          <w:tcPr>
            <w:tcW w:type="dxa" w:w="2608"/>
          </w:tcPr>
          <w:p>
            <w:r>
              <w:rPr>
                <w:rFonts w:ascii="Arial" w:hAnsi="Arial"/>
                <w:b/>
                <w:i w:val="0"/>
                <w:sz w:val="19"/>
              </w:rPr>
              <w:t>P3.3</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+2 pts</w:t>
            </w:r>
          </w:p>
        </w:tc>
        <w:tc>
          <w:tcPr>
            <w:tcW w:type="dxa" w:w="7030"/>
          </w:tcPr>
          <w:p>
            <w:r>
              <w:rPr>
                <w:rFonts w:ascii="Arial" w:hAnsi="Arial"/>
                <w:b/>
                <w:i w:val="0"/>
                <w:sz w:val="19"/>
              </w:rPr>
              <w:t>¿Los datos de entrenamiento incluyen una representación adecuada de la diversidad de la población objetivo de este protocolo: raza/color, etnia, orientación sexual, género, franja etaria, región geográfica?</w:t>
            </w:r>
          </w:p>
          <w:p>
            <w:r>
              <w:rPr>
                <w:rFonts w:ascii="Arial" w:hAnsi="Arial"/>
                <w:b/>
                <w:i w:val="0"/>
                <w:sz w:val="18"/>
              </w:rPr>
              <w:t xml:space="preserve">Orientación. </w:t>
            </w:r>
            <w:r>
              <w:rPr>
                <w:rFonts w:ascii="Arial" w:hAnsi="Arial"/>
                <w:b w:val="0"/>
                <w:i w:val="0"/>
                <w:sz w:val="18"/>
              </w:rPr>
              <w:t>Sin una representación adecuada de la diversidad de la población objetivo (raza/color, etnia, orientación sexual, género, edad, región), el modelo puede generar resultados sesgados y discriminatorios.</w:t>
            </w:r>
          </w:p>
        </w:tc>
      </w:tr>
      <w:tr>
        <w:tc>
          <w:tcPr>
            <w:tcW w:type="dxa" w:w="2608"/>
          </w:tcPr>
          <w:p>
            <w:r>
              <w:rPr>
                <w:rFonts w:ascii="Arial" w:hAnsi="Arial"/>
                <w:b/>
                <w:i w:val="0"/>
                <w:sz w:val="19"/>
              </w:rPr>
              <w:t>P3.4</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+2 pts</w:t>
            </w:r>
          </w:p>
        </w:tc>
        <w:tc>
          <w:tcPr>
            <w:tcW w:type="dxa" w:w="7030"/>
          </w:tcPr>
          <w:p>
            <w:r>
              <w:rPr>
                <w:rFonts w:ascii="Arial" w:hAnsi="Arial"/>
                <w:b/>
                <w:i w:val="0"/>
                <w:sz w:val="19"/>
              </w:rPr>
              <w:t>¿Los datos de prueba del modelo son independientes de los datos de entrenamiento?</w:t>
            </w:r>
          </w:p>
          <w:p>
            <w:r>
              <w:rPr>
                <w:rFonts w:ascii="Arial" w:hAnsi="Arial"/>
                <w:b/>
                <w:i w:val="0"/>
                <w:sz w:val="18"/>
              </w:rPr>
              <w:t xml:space="preserve">Orientación. </w:t>
            </w:r>
            <w:r>
              <w:rPr>
                <w:rFonts w:ascii="Arial" w:hAnsi="Arial"/>
                <w:b w:val="0"/>
                <w:i w:val="0"/>
                <w:sz w:val="18"/>
              </w:rPr>
              <w:t>Los datos de prueba no independientes de los de entrenamiento tienden a sobreestimar el desempeño del modelo.</w:t>
            </w:r>
          </w:p>
        </w:tc>
      </w:tr>
      <w:tr>
        <w:tc>
          <w:tcPr>
            <w:tcW w:type="dxa" w:w="2608"/>
          </w:tcPr>
          <w:p>
            <w:r>
              <w:rPr>
                <w:rFonts w:ascii="Arial" w:hAnsi="Arial"/>
                <w:b/>
                <w:i w:val="0"/>
                <w:sz w:val="19"/>
              </w:rPr>
              <w:t>P3.5</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+2 pts</w:t>
            </w:r>
          </w:p>
        </w:tc>
        <w:tc>
          <w:tcPr>
            <w:tcW w:type="dxa" w:w="7030"/>
          </w:tcPr>
          <w:p>
            <w:r>
              <w:rPr>
                <w:rFonts w:ascii="Arial" w:hAnsi="Arial"/>
                <w:b/>
                <w:i w:val="0"/>
                <w:sz w:val="19"/>
              </w:rPr>
              <w:t>¿El protocolo describe los datos usados en el entrenamiento: origen, período de recolección, criterios de inclusión y exclusión?</w:t>
            </w:r>
          </w:p>
          <w:p>
            <w:r>
              <w:rPr>
                <w:rFonts w:ascii="Arial" w:hAnsi="Arial"/>
                <w:b/>
                <w:i w:val="0"/>
                <w:sz w:val="18"/>
              </w:rPr>
              <w:t xml:space="preserve">Orientación. </w:t>
            </w:r>
            <w:r>
              <w:rPr>
                <w:rFonts w:ascii="Arial" w:hAnsi="Arial"/>
                <w:b w:val="0"/>
                <w:i w:val="0"/>
                <w:sz w:val="18"/>
              </w:rPr>
              <w:t>La descripción de origen, período y criterios de inclusión/exclusión de los datos de entrenamiento es esencial para evaluar la calidad del modelo.</w:t>
            </w:r>
          </w:p>
        </w:tc>
      </w:tr>
      <w:tr>
        <w:tc>
          <w:tcPr>
            <w:tcW w:type="dxa" w:w="2608"/>
          </w:tcPr>
          <w:p>
            <w:r>
              <w:rPr>
                <w:rFonts w:ascii="Arial" w:hAnsi="Arial"/>
                <w:b/>
                <w:i w:val="0"/>
                <w:sz w:val="19"/>
              </w:rPr>
              <w:t>P3.6</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+2 pts</w:t>
            </w:r>
          </w:p>
        </w:tc>
        <w:tc>
          <w:tcPr>
            <w:tcW w:type="dxa" w:w="7030"/>
          </w:tcPr>
          <w:p>
            <w:r>
              <w:rPr>
                <w:rFonts w:ascii="Arial" w:hAnsi="Arial"/>
                <w:b/>
                <w:i w:val="0"/>
                <w:sz w:val="19"/>
              </w:rPr>
              <w:t>¿El protocolo presenta una evaluación del desempeño del modelo por subgrupos poblacionales relevantes?</w:t>
            </w:r>
          </w:p>
          <w:p>
            <w:r>
              <w:rPr>
                <w:rFonts w:ascii="Arial" w:hAnsi="Arial"/>
                <w:b/>
                <w:i w:val="0"/>
                <w:sz w:val="18"/>
              </w:rPr>
              <w:t xml:space="preserve">Orientación. </w:t>
            </w:r>
            <w:r>
              <w:rPr>
                <w:rFonts w:ascii="Arial" w:hAnsi="Arial"/>
                <w:b w:val="0"/>
                <w:i w:val="0"/>
                <w:sz w:val="18"/>
              </w:rPr>
              <w:t>Sin una evaluación por subgrupos poblacionales relevantes, las disparidades de desempeño que afectan a grupos específicos no se identifican.</w:t>
            </w:r>
          </w:p>
        </w:tc>
      </w:tr>
      <w:tr>
        <w:tc>
          <w:tcPr>
            <w:tcW w:type="dxa" w:w="2608"/>
          </w:tcPr>
          <w:p>
            <w:r>
              <w:rPr>
                <w:rFonts w:ascii="Arial" w:hAnsi="Arial"/>
                <w:b/>
                <w:i w:val="0"/>
                <w:sz w:val="19"/>
              </w:rPr>
              <w:t>P3.7</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+2 pts</w:t>
            </w:r>
          </w:p>
        </w:tc>
        <w:tc>
          <w:tcPr>
            <w:tcW w:type="dxa" w:w="7030"/>
          </w:tcPr>
          <w:p>
            <w:r>
              <w:rPr>
                <w:rFonts w:ascii="Arial" w:hAnsi="Arial"/>
                <w:b/>
                <w:i w:val="0"/>
                <w:sz w:val="19"/>
              </w:rPr>
              <w:t>¿El desempeño del modelo fue validado en un contexto asistencial comparable al SUS o al sistema de salud en que será utilizado?</w:t>
            </w:r>
          </w:p>
          <w:p>
            <w:r>
              <w:rPr>
                <w:rFonts w:ascii="Arial" w:hAnsi="Arial"/>
                <w:b/>
                <w:i w:val="0"/>
                <w:sz w:val="18"/>
              </w:rPr>
              <w:t xml:space="preserve">Orientación. </w:t>
            </w:r>
            <w:r>
              <w:rPr>
                <w:rFonts w:ascii="Arial" w:hAnsi="Arial"/>
                <w:b w:val="0"/>
                <w:i w:val="0"/>
                <w:sz w:val="18"/>
              </w:rPr>
              <w:t>La validación en un contexto asistencial comparable (ej.: SUS) es lo que asegura la adecuación del modelo al escenario real de uso.</w:t>
            </w:r>
          </w:p>
        </w:tc>
      </w:tr>
    </w:tbl>
    <w:p>
      <w:pPr>
        <w:spacing w:before="200" w:after="80"/>
      </w:pPr>
      <w:r>
        <w:rPr>
          <w:rFonts w:ascii="Arial" w:hAnsi="Arial"/>
          <w:b/>
          <w:i w:val="0"/>
          <w:color w:val="0F766E"/>
          <w:sz w:val="25"/>
        </w:rPr>
        <w:t>Bloque 4: Decisión (máx. 8 pts)</w:t>
      </w:r>
    </w:p>
    <w:p>
      <w:pPr>
        <w:spacing w:after="120"/>
      </w:pPr>
      <w:r>
        <w:rPr>
          <w:rFonts w:ascii="Arial" w:hAnsi="Arial"/>
          <w:b w:val="0"/>
          <w:i w:val="0"/>
          <w:color w:val="555555"/>
          <w:sz w:val="19"/>
        </w:rPr>
        <w:t>Evalúa si el sistema es el único determinante de decisiones y la irreversibilidad de los daños potenciales. Este es un bloque CRÍTICO.</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P4.1</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+3 pts</w:t>
            </w:r>
          </w:p>
        </w:tc>
        <w:tc>
          <w:tcPr>
            <w:tcW w:type="dxa" w:w="7030"/>
          </w:tcPr>
          <w:p>
            <w:r>
              <w:rPr>
                <w:rFonts w:ascii="Arial" w:hAnsi="Arial"/>
                <w:b/>
                <w:i w:val="0"/>
                <w:sz w:val="19"/>
              </w:rPr>
              <w:t>¿El sistema es el único determinante de una decisión que afecta directamente a la persona participante — sin revisión humana obligatoria?</w:t>
            </w:r>
          </w:p>
          <w:p>
            <w:r>
              <w:rPr>
                <w:rFonts w:ascii="Arial" w:hAnsi="Arial"/>
                <w:b/>
                <w:i w:val="0"/>
                <w:sz w:val="18"/>
              </w:rPr>
              <w:t xml:space="preserve">Orientación. </w:t>
            </w:r>
            <w:r>
              <w:rPr>
                <w:rFonts w:ascii="Arial" w:hAnsi="Arial"/>
                <w:b w:val="0"/>
                <w:i w:val="0"/>
                <w:sz w:val="18"/>
              </w:rPr>
              <w:t>Verifica si el sistema es el único determinante de una decisión que afecta a la persona participante, sin revisión humana obligatoria — lo que elimina la barrera de seguridad humana. Salvaguarda Decisoria (Cláusula de Primacía Ética): responder «Sí» fuerza el protocolo al Nivel IV, sobrescribiendo la suma, cualquiera que sea la puntuación de los demás bloques.</w:t>
            </w:r>
          </w:p>
        </w:tc>
      </w:tr>
      <w:tr>
        <w:tc>
          <w:tcPr>
            <w:tcW w:type="dxa" w:w="2608"/>
          </w:tcPr>
          <w:p>
            <w:r>
              <w:rPr>
                <w:rFonts w:ascii="Arial" w:hAnsi="Arial"/>
                <w:b/>
                <w:i w:val="0"/>
                <w:sz w:val="19"/>
              </w:rPr>
              <w:t>P4.2</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+3 pts</w:t>
            </w:r>
          </w:p>
        </w:tc>
        <w:tc>
          <w:tcPr>
            <w:tcW w:type="dxa" w:w="7030"/>
          </w:tcPr>
          <w:p>
            <w:r>
              <w:rPr>
                <w:rFonts w:ascii="Arial" w:hAnsi="Arial"/>
                <w:b/>
                <w:i w:val="0"/>
                <w:sz w:val="19"/>
              </w:rPr>
              <w:t>En caso de error del sistema, ¿el daño a la persona participante sería irreversible o de difícil reparación?</w:t>
            </w:r>
          </w:p>
          <w:p>
            <w:r>
              <w:rPr>
                <w:rFonts w:ascii="Arial" w:hAnsi="Arial"/>
                <w:b/>
                <w:i w:val="0"/>
                <w:sz w:val="18"/>
              </w:rPr>
              <w:t xml:space="preserve">Orientación. </w:t>
            </w:r>
            <w:r>
              <w:rPr>
                <w:rFonts w:ascii="Arial" w:hAnsi="Arial"/>
                <w:b w:val="0"/>
                <w:i w:val="0"/>
                <w:sz w:val="18"/>
              </w:rPr>
              <w:t>Evalúa si un error del sistema podría causar un daño irreversible o de difícil reparación a la persona participante — el nivel más alto de riesgo. Salvaguarda Decisoria (Cláusula de Primacía Ética): responder «Sí» fuerza el protocolo al Nivel IV, sobrescribiendo la suma.</w:t>
            </w:r>
          </w:p>
        </w:tc>
      </w:tr>
      <w:tr>
        <w:tc>
          <w:tcPr>
            <w:tcW w:type="dxa" w:w="2608"/>
          </w:tcPr>
          <w:p>
            <w:r>
              <w:rPr>
                <w:rFonts w:ascii="Arial" w:hAnsi="Arial"/>
                <w:b/>
                <w:i w:val="0"/>
                <w:sz w:val="19"/>
              </w:rPr>
              <w:t>P4.3</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+2 pts</w:t>
            </w:r>
          </w:p>
        </w:tc>
        <w:tc>
          <w:tcPr>
            <w:tcW w:type="dxa" w:w="7030"/>
          </w:tcPr>
          <w:p>
            <w:r>
              <w:rPr>
                <w:rFonts w:ascii="Arial" w:hAnsi="Arial"/>
                <w:b/>
                <w:i w:val="0"/>
                <w:sz w:val="19"/>
              </w:rPr>
              <w:t>¿El investigador tiene acceso a la información necesaria para cuestionar la recomendación del sistema antes de su ejecución?</w:t>
            </w:r>
          </w:p>
          <w:p>
            <w:r>
              <w:rPr>
                <w:rFonts w:ascii="Arial" w:hAnsi="Arial"/>
                <w:b/>
                <w:i w:val="0"/>
                <w:sz w:val="18"/>
              </w:rPr>
              <w:t xml:space="preserve">Orientación. </w:t>
            </w:r>
            <w:r>
              <w:rPr>
                <w:rFonts w:ascii="Arial" w:hAnsi="Arial"/>
                <w:b w:val="0"/>
                <w:i w:val="0"/>
                <w:sz w:val="18"/>
              </w:rPr>
              <w:t>Sin acceso a la información necesaria para cuestionar la recomendación antes de la ejecución, la supervisión humana es apenas simbólica — no logra frenar un error.</w:t>
            </w:r>
          </w:p>
        </w:tc>
      </w:tr>
    </w:tbl>
    <w:p>
      <w:pPr>
        <w:spacing w:before="200" w:after="80"/>
      </w:pPr>
      <w:r>
        <w:rPr>
          <w:rFonts w:ascii="Arial" w:hAnsi="Arial"/>
          <w:b/>
          <w:i w:val="0"/>
          <w:color w:val="0F766E"/>
          <w:sz w:val="25"/>
        </w:rPr>
        <w:t>Bloque 5: Impacto (máx. 62 pts)</w:t>
      </w:r>
    </w:p>
    <w:p>
      <w:pPr>
        <w:spacing w:after="120"/>
      </w:pPr>
      <w:r>
        <w:rPr>
          <w:rFonts w:ascii="Arial" w:hAnsi="Arial"/>
          <w:b w:val="0"/>
          <w:i w:val="0"/>
          <w:color w:val="555555"/>
          <w:sz w:val="19"/>
        </w:rPr>
        <w:t>Evalúa el impacto potencial del sistema sobre la persona participante, incluyendo daños físicos, psíquicos y sociales, y la protección de poblaciones vulnerables.</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P5.1</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+6 pts</w:t>
            </w:r>
          </w:p>
        </w:tc>
        <w:tc>
          <w:tcPr>
            <w:tcW w:type="dxa" w:w="7030"/>
          </w:tcPr>
          <w:p>
            <w:r>
              <w:rPr>
                <w:rFonts w:ascii="Arial" w:hAnsi="Arial"/>
                <w:b/>
                <w:i w:val="0"/>
                <w:sz w:val="19"/>
              </w:rPr>
              <w:t>¿El sistema influye directamente en decisiones clínicas o terapéuticas sobre la persona participante?</w:t>
            </w:r>
          </w:p>
          <w:p>
            <w:r>
              <w:rPr>
                <w:rFonts w:ascii="Arial" w:hAnsi="Arial"/>
                <w:b/>
                <w:i w:val="0"/>
                <w:sz w:val="18"/>
              </w:rPr>
              <w:t xml:space="preserve">Orientación. </w:t>
            </w:r>
            <w:r>
              <w:rPr>
                <w:rFonts w:ascii="Arial" w:hAnsi="Arial"/>
                <w:b w:val="0"/>
                <w:i w:val="0"/>
                <w:sz w:val="18"/>
              </w:rPr>
              <w:t>Cuando el sistema influye directamente en decisiones clínicas o terapéuticas, un error se convierte en una conducta inadecuada sobre la persona participante — mayor potencial de daño.</w:t>
            </w:r>
          </w:p>
        </w:tc>
      </w:tr>
      <w:tr>
        <w:tc>
          <w:tcPr>
            <w:tcW w:type="dxa" w:w="2608"/>
          </w:tcPr>
          <w:p>
            <w:r>
              <w:rPr>
                <w:rFonts w:ascii="Arial" w:hAnsi="Arial"/>
                <w:b/>
                <w:i w:val="0"/>
                <w:sz w:val="19"/>
              </w:rPr>
              <w:t>P5.2</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+6 pts</w:t>
            </w:r>
          </w:p>
        </w:tc>
        <w:tc>
          <w:tcPr>
            <w:tcW w:type="dxa" w:w="7030"/>
          </w:tcPr>
          <w:p>
            <w:r>
              <w:rPr>
                <w:rFonts w:ascii="Arial" w:hAnsi="Arial"/>
                <w:b/>
                <w:i w:val="0"/>
                <w:sz w:val="19"/>
              </w:rPr>
              <w:t>¿El sistema puede causar daño físico a la persona participante en caso de error?</w:t>
            </w:r>
          </w:p>
          <w:p>
            <w:r>
              <w:rPr>
                <w:rFonts w:ascii="Arial" w:hAnsi="Arial"/>
                <w:b/>
                <w:i w:val="0"/>
                <w:sz w:val="18"/>
              </w:rPr>
              <w:t xml:space="preserve">Orientación. </w:t>
            </w:r>
            <w:r>
              <w:rPr>
                <w:rFonts w:ascii="Arial" w:hAnsi="Arial"/>
                <w:b w:val="0"/>
                <w:i w:val="0"/>
                <w:sz w:val="18"/>
              </w:rPr>
              <w:t>La posibilidad de daño físico en caso de error es la forma más grave de impacto y exige mecanismos robustos de seguridad.</w:t>
            </w:r>
          </w:p>
        </w:tc>
      </w:tr>
      <w:tr>
        <w:tc>
          <w:tcPr>
            <w:tcW w:type="dxa" w:w="2608"/>
          </w:tcPr>
          <w:p>
            <w:r>
              <w:rPr>
                <w:rFonts w:ascii="Arial" w:hAnsi="Arial"/>
                <w:b/>
                <w:i w:val="0"/>
                <w:sz w:val="19"/>
              </w:rPr>
              <w:t>P5.3</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+6 pts</w:t>
            </w:r>
          </w:p>
        </w:tc>
        <w:tc>
          <w:tcPr>
            <w:tcW w:type="dxa" w:w="7030"/>
          </w:tcPr>
          <w:p>
            <w:r>
              <w:rPr>
                <w:rFonts w:ascii="Arial" w:hAnsi="Arial"/>
                <w:b/>
                <w:i w:val="0"/>
                <w:sz w:val="19"/>
              </w:rPr>
              <w:t>¿El sistema puede causar daño psíquico, social o económico a la persona participante en caso de error?</w:t>
            </w:r>
          </w:p>
          <w:p>
            <w:r>
              <w:rPr>
                <w:rFonts w:ascii="Arial" w:hAnsi="Arial"/>
                <w:b/>
                <w:i w:val="0"/>
                <w:sz w:val="18"/>
              </w:rPr>
              <w:t xml:space="preserve">Orientación. </w:t>
            </w:r>
            <w:r>
              <w:rPr>
                <w:rFonts w:ascii="Arial" w:hAnsi="Arial"/>
                <w:b w:val="0"/>
                <w:i w:val="0"/>
                <w:sz w:val="18"/>
              </w:rPr>
              <w:t>Los daños no físicos — psíquicos, sociales o económicos — también son relevantes, sobre todo cuando afectan la vida social o los ingresos de la persona participante.</w:t>
            </w:r>
          </w:p>
        </w:tc>
      </w:tr>
      <w:tr>
        <w:tc>
          <w:tcPr>
            <w:tcW w:type="dxa" w:w="2608"/>
          </w:tcPr>
          <w:p>
            <w:r>
              <w:rPr>
                <w:rFonts w:ascii="Arial" w:hAnsi="Arial"/>
                <w:b/>
                <w:i w:val="0"/>
                <w:sz w:val="19"/>
              </w:rPr>
              <w:t>P5.4</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+6 pts</w:t>
            </w:r>
          </w:p>
        </w:tc>
        <w:tc>
          <w:tcPr>
            <w:tcW w:type="dxa" w:w="7030"/>
          </w:tcPr>
          <w:p>
            <w:r>
              <w:rPr>
                <w:rFonts w:ascii="Arial" w:hAnsi="Arial"/>
                <w:b/>
                <w:i w:val="0"/>
                <w:sz w:val="19"/>
              </w:rPr>
              <w:t>¿El protocolo involucra poblaciones vulnerables — niños, gestantes, personas mayores, pueblos indígenas o personas en situación de vulnerabilidad socioeconómica?</w:t>
            </w:r>
          </w:p>
          <w:p>
            <w:r>
              <w:rPr>
                <w:rFonts w:ascii="Arial" w:hAnsi="Arial"/>
                <w:b/>
                <w:i w:val="0"/>
                <w:sz w:val="18"/>
              </w:rPr>
              <w:t xml:space="preserve">Orientación. </w:t>
            </w:r>
            <w:r>
              <w:rPr>
                <w:rFonts w:ascii="Arial" w:hAnsi="Arial"/>
                <w:b w:val="0"/>
                <w:i w:val="0"/>
                <w:sz w:val="18"/>
              </w:rPr>
              <w:t>Las poblaciones vulnerables (niños, gestantes, personas mayores, pueblos indígenas, vulnerabilidad socioeconómica) exigen protección adicional, por la menor capacidad de cuestionar decisiones o comprender riesgos.</w:t>
            </w:r>
          </w:p>
        </w:tc>
      </w:tr>
      <w:tr>
        <w:tc>
          <w:tcPr>
            <w:tcW w:type="dxa" w:w="2608"/>
          </w:tcPr>
          <w:p>
            <w:r>
              <w:rPr>
                <w:rFonts w:ascii="Arial" w:hAnsi="Arial"/>
                <w:b/>
                <w:i w:val="0"/>
                <w:sz w:val="19"/>
              </w:rPr>
              <w:t>P5.5</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+6 pts</w:t>
            </w:r>
          </w:p>
        </w:tc>
        <w:tc>
          <w:tcPr>
            <w:tcW w:type="dxa" w:w="7030"/>
          </w:tcPr>
          <w:p>
            <w:r>
              <w:rPr>
                <w:rFonts w:ascii="Arial" w:hAnsi="Arial"/>
                <w:b/>
                <w:i w:val="0"/>
                <w:sz w:val="19"/>
              </w:rPr>
              <w:t>¿El sistema infiere características sensibles de la persona participante — raza, etnia, condición de salud, orientación sexual — que no fueron explícitamente recolectadas?</w:t>
            </w:r>
          </w:p>
          <w:p>
            <w:r>
              <w:rPr>
                <w:rFonts w:ascii="Arial" w:hAnsi="Arial"/>
                <w:b/>
                <w:i w:val="0"/>
                <w:sz w:val="18"/>
              </w:rPr>
              <w:t xml:space="preserve">Orientación. </w:t>
            </w:r>
            <w:r>
              <w:rPr>
                <w:rFonts w:ascii="Arial" w:hAnsi="Arial"/>
                <w:b w:val="0"/>
                <w:i w:val="0"/>
                <w:sz w:val="18"/>
              </w:rPr>
              <w:t>Inferir características sensibles no explícitamente recolectadas (raza/color, etnia, salud, orientación sexual) contraría la autonomía informativa y puede generar discriminación.</w:t>
            </w:r>
          </w:p>
        </w:tc>
      </w:tr>
      <w:tr>
        <w:tc>
          <w:tcPr>
            <w:tcW w:type="dxa" w:w="2608"/>
          </w:tcPr>
          <w:p>
            <w:r>
              <w:rPr>
                <w:rFonts w:ascii="Arial" w:hAnsi="Arial"/>
                <w:b/>
                <w:i w:val="0"/>
                <w:sz w:val="19"/>
              </w:rPr>
              <w:t>P5.6</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tc>
        <w:tc>
          <w:tcPr>
            <w:tcW w:type="dxa" w:w="7030"/>
          </w:tcPr>
          <w:p>
            <w:r>
              <w:rPr>
                <w:rFonts w:ascii="Arial" w:hAnsi="Arial"/>
                <w:b/>
                <w:i w:val="0"/>
                <w:sz w:val="19"/>
              </w:rPr>
              <w:t>¿Los efectos de un error del sistema sobre la persona participante son reversibles?</w:t>
            </w:r>
          </w:p>
          <w:p>
            <w:r>
              <w:rPr>
                <w:rFonts w:ascii="Arial" w:hAnsi="Arial"/>
                <w:b/>
                <w:i w:val="0"/>
                <w:sz w:val="18"/>
              </w:rPr>
              <w:t xml:space="preserve">Orientación. </w:t>
            </w:r>
            <w:r>
              <w:rPr>
                <w:rFonts w:ascii="Arial" w:hAnsi="Arial"/>
                <w:b w:val="0"/>
                <w:i w:val="0"/>
                <w:sz w:val="18"/>
              </w:rPr>
              <w:t>La pregunta verifica la reversibilidad: los efectos NO reversibles de un error aumentan significativamente el riesgo, por no admitir reparación integral.</w:t>
            </w:r>
          </w:p>
        </w:tc>
      </w:tr>
      <w:tr>
        <w:tc>
          <w:tcPr>
            <w:tcW w:type="dxa" w:w="2608"/>
          </w:tcPr>
          <w:p>
            <w:r>
              <w:rPr>
                <w:rFonts w:ascii="Arial" w:hAnsi="Arial"/>
                <w:b/>
                <w:i w:val="0"/>
                <w:sz w:val="19"/>
              </w:rPr>
              <w:t>P5.7</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tc>
        <w:tc>
          <w:tcPr>
            <w:tcW w:type="dxa" w:w="7030"/>
          </w:tcPr>
          <w:p>
            <w:r>
              <w:rPr>
                <w:rFonts w:ascii="Arial" w:hAnsi="Arial"/>
                <w:b/>
                <w:i w:val="0"/>
                <w:sz w:val="19"/>
              </w:rPr>
              <w:t>¿El protocolo describe cómo los resultados generados por la IA serán comunicados a la persona participante, cuando corresponda?</w:t>
            </w:r>
          </w:p>
          <w:p>
            <w:r>
              <w:rPr>
                <w:rFonts w:ascii="Arial" w:hAnsi="Arial"/>
                <w:b/>
                <w:i w:val="0"/>
                <w:sz w:val="18"/>
              </w:rPr>
              <w:t xml:space="preserve">Orientación. </w:t>
            </w:r>
            <w:r>
              <w:rPr>
                <w:rFonts w:ascii="Arial" w:hAnsi="Arial"/>
                <w:b w:val="0"/>
                <w:i w:val="0"/>
                <w:sz w:val="18"/>
              </w:rPr>
              <w:t>La ausencia de descripción sobre cómo los resultados serán comunicados a la persona participante compromete la transparencia. Incluye el derecho de la persona participante a la devolución de los resultados de la investigación y a la información sobre eventual repercusión en su condición de salud, cuando corresponda (LGPD; Ley n.º 14.874/2024).</w:t>
            </w:r>
          </w:p>
        </w:tc>
      </w:tr>
      <w:tr>
        <w:tc>
          <w:tcPr>
            <w:tcW w:type="dxa" w:w="2608"/>
          </w:tcPr>
          <w:p>
            <w:r>
              <w:rPr>
                <w:rFonts w:ascii="Arial" w:hAnsi="Arial"/>
                <w:b/>
                <w:i w:val="0"/>
                <w:sz w:val="19"/>
              </w:rPr>
              <w:t>P5.8</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+6 pts</w:t>
            </w:r>
          </w:p>
        </w:tc>
        <w:tc>
          <w:tcPr>
            <w:tcW w:type="dxa" w:w="7030"/>
          </w:tcPr>
          <w:p>
            <w:r>
              <w:rPr>
                <w:rFonts w:ascii="Arial" w:hAnsi="Arial"/>
                <w:b/>
                <w:i w:val="0"/>
                <w:sz w:val="19"/>
              </w:rPr>
              <w:t>¿El protocolo prevé un mecanismo para que la persona participante retire el consentimiento, con exclusión de sus datos de las bases del estudio y garantía de no utilización en entrenamientos o reentrenamientos futuros?</w:t>
            </w:r>
          </w:p>
          <w:p>
            <w:r>
              <w:rPr>
                <w:rFonts w:ascii="Arial" w:hAnsi="Arial"/>
                <w:b/>
                <w:i w:val="0"/>
                <w:sz w:val="18"/>
              </w:rPr>
              <w:t xml:space="preserve">Orientación. </w:t>
            </w:r>
            <w:r>
              <w:rPr>
                <w:rFonts w:ascii="Arial" w:hAnsi="Arial"/>
                <w:b w:val="0"/>
                <w:i w:val="0"/>
                <w:sz w:val="18"/>
              </w:rPr>
              <w:t>La retirada del consentimiento es un derecho de la persona participante (Ley n.º 14.874/2024; LGPD, art. 8.º, §5.º, y art. 18). En modelos ya entrenados, la remoción retroactiva de la influencia de un dato específico tiene límites técnicos: el modelo no almacena los datos, sino pesos estadísticos aprendidos, y las técnicas de desaprendizaje automático aún son incipientes. Por ello, el protocolo debe garantizar tres compromisos verificables: (1) exclusión de los datos de la persona participante de las bases del estudio y bloqueo de su uso en cualquier entrenamiento o reentrenamiento futuro; (2) declaración clara de esos límites técnicos en el TCLE, en lenguaje comprensible; (3) salvaguardas de no memorización — curaduría y minimización de los datos antes del entrenamiento y pruebas documentadas de que el modelo no reproduce ni filtra datos de participantes. La ausencia de un mecanismo con esos tres compromisos configura riesgo.</w:t>
            </w:r>
          </w:p>
        </w:tc>
      </w:tr>
      <w:tr>
        <w:tc>
          <w:tcPr>
            <w:tcW w:type="dxa" w:w="2608"/>
          </w:tcPr>
          <w:p>
            <w:r>
              <w:rPr>
                <w:rFonts w:ascii="Arial" w:hAnsi="Arial"/>
                <w:b/>
                <w:i w:val="0"/>
                <w:sz w:val="19"/>
              </w:rPr>
              <w:t>P5.9</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+6 pts</w:t>
            </w:r>
          </w:p>
        </w:tc>
        <w:tc>
          <w:tcPr>
            <w:tcW w:type="dxa" w:w="7030"/>
          </w:tcPr>
          <w:p>
            <w:r>
              <w:rPr>
                <w:rFonts w:ascii="Arial" w:hAnsi="Arial"/>
                <w:b/>
                <w:i w:val="0"/>
                <w:sz w:val="19"/>
              </w:rPr>
              <w:t>¿El protocolo define una responsabilidad humana clara en caso de error o daño derivado del uso del sistema?</w:t>
            </w:r>
          </w:p>
          <w:p>
            <w:r>
              <w:rPr>
                <w:rFonts w:ascii="Arial" w:hAnsi="Arial"/>
                <w:b/>
                <w:i w:val="0"/>
                <w:sz w:val="18"/>
              </w:rPr>
              <w:t xml:space="preserve">Orientación. </w:t>
            </w:r>
            <w:r>
              <w:rPr>
                <w:rFonts w:ascii="Arial" w:hAnsi="Arial"/>
                <w:b w:val="0"/>
                <w:i w:val="0"/>
                <w:sz w:val="18"/>
              </w:rPr>
              <w:t>Sin una responsabilidad humana clara en caso de error o daño, se instala una zona de impunidad que fragiliza la protección de la persona participante.</w:t>
            </w:r>
          </w:p>
        </w:tc>
      </w:tr>
      <w:tr>
        <w:tc>
          <w:tcPr>
            <w:tcW w:type="dxa" w:w="2608"/>
          </w:tcPr>
          <w:p>
            <w:r>
              <w:rPr>
                <w:rFonts w:ascii="Arial" w:hAnsi="Arial"/>
                <w:b/>
                <w:i w:val="0"/>
                <w:sz w:val="19"/>
              </w:rPr>
              <w:t>P5.10</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+5 pts</w:t>
            </w:r>
          </w:p>
        </w:tc>
        <w:tc>
          <w:tcPr>
            <w:tcW w:type="dxa" w:w="7030"/>
          </w:tcPr>
          <w:p>
            <w:r>
              <w:rPr>
                <w:rFonts w:ascii="Arial" w:hAnsi="Arial"/>
                <w:b/>
                <w:i w:val="0"/>
                <w:sz w:val="19"/>
              </w:rPr>
              <w:t>¿Los resultados de la investigación pueden generar estigmatización de grupos o poblaciones?</w:t>
            </w:r>
          </w:p>
          <w:p>
            <w:r>
              <w:rPr>
                <w:rFonts w:ascii="Arial" w:hAnsi="Arial"/>
                <w:b/>
                <w:i w:val="0"/>
                <w:sz w:val="18"/>
              </w:rPr>
              <w:t xml:space="preserve">Orientación. </w:t>
            </w:r>
            <w:r>
              <w:rPr>
                <w:rFonts w:ascii="Arial" w:hAnsi="Arial"/>
                <w:b w:val="0"/>
                <w:i w:val="0"/>
                <w:sz w:val="18"/>
              </w:rPr>
              <w:t>Evaluar el daño incluso sin identificación individual: la estigmatización deriva de la atribución de características al grupo.</w:t>
            </w:r>
          </w:p>
        </w:tc>
      </w:tr>
      <w:tr>
        <w:tc>
          <w:tcPr>
            <w:tcW w:type="dxa" w:w="2608"/>
          </w:tcPr>
          <w:p>
            <w:r>
              <w:rPr>
                <w:rFonts w:ascii="Arial" w:hAnsi="Arial"/>
                <w:b/>
                <w:i w:val="0"/>
                <w:sz w:val="19"/>
              </w:rPr>
              <w:t>P5.11</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+5 pts</w:t>
            </w:r>
          </w:p>
        </w:tc>
        <w:tc>
          <w:tcPr>
            <w:tcW w:type="dxa" w:w="7030"/>
          </w:tcPr>
          <w:p>
            <w:r>
              <w:rPr>
                <w:rFonts w:ascii="Arial" w:hAnsi="Arial"/>
                <w:b/>
                <w:i w:val="0"/>
                <w:sz w:val="19"/>
              </w:rPr>
              <w:t>¿Hay riesgo de discriminación de individuos o grupos como consecuencia del uso de los resultados producidos por el sistema?</w:t>
            </w:r>
          </w:p>
          <w:p>
            <w:r>
              <w:rPr>
                <w:rFonts w:ascii="Arial" w:hAnsi="Arial"/>
                <w:b/>
                <w:i w:val="0"/>
                <w:sz w:val="18"/>
              </w:rPr>
              <w:t xml:space="preserve">Orientación. </w:t>
            </w:r>
            <w:r>
              <w:rPr>
                <w:rFonts w:ascii="Arial" w:hAnsi="Arial"/>
                <w:b w:val="0"/>
                <w:i w:val="0"/>
                <w:sz w:val="18"/>
              </w:rPr>
              <w:t>Distinguir de 4.3/P3.6: la equidad mide el desempeño desigual del modelo; esta pregunta mide el daño discriminatorio derivado del uso.</w:t>
            </w:r>
          </w:p>
        </w:tc>
      </w:tr>
    </w:tbl>
    <w:p>
      <w:pPr>
        <w:spacing w:before="200" w:after="80"/>
      </w:pPr>
      <w:r>
        <w:rPr>
          <w:rFonts w:ascii="Arial" w:hAnsi="Arial"/>
          <w:b/>
          <w:i w:val="0"/>
          <w:color w:val="0F766E"/>
          <w:sz w:val="25"/>
        </w:rPr>
        <w:t>Bloque 6: Datos (máx. 77 pts)</w:t>
      </w:r>
    </w:p>
    <w:p>
      <w:pPr>
        <w:spacing w:after="120"/>
      </w:pPr>
      <w:r>
        <w:rPr>
          <w:rFonts w:ascii="Arial" w:hAnsi="Arial"/>
          <w:b w:val="0"/>
          <w:i w:val="0"/>
          <w:color w:val="555555"/>
          <w:sz w:val="19"/>
        </w:rPr>
        <w:t>Evalúa la sensibilidad de los datos, la conformidad con la LGPD y los mecanismos de protección y gobernanza.</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P6.1</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+7 pts</w:t>
            </w:r>
          </w:p>
        </w:tc>
        <w:tc>
          <w:tcPr>
            <w:tcW w:type="dxa" w:w="7030"/>
          </w:tcPr>
          <w:p>
            <w:r>
              <w:rPr>
                <w:rFonts w:ascii="Arial" w:hAnsi="Arial"/>
                <w:b/>
                <w:i w:val="0"/>
                <w:sz w:val="19"/>
              </w:rPr>
              <w:t>¿El sistema procesa datos personales sensibles: salud (incluida la salud mental), genética, biometría, datos de localización, raza, etnia, religión, vida sexual?</w:t>
            </w:r>
          </w:p>
          <w:p>
            <w:r>
              <w:rPr>
                <w:rFonts w:ascii="Arial" w:hAnsi="Arial"/>
                <w:b/>
                <w:i w:val="0"/>
                <w:sz w:val="18"/>
              </w:rPr>
              <w:t xml:space="preserve">Orientación. </w:t>
            </w:r>
            <w:r>
              <w:rPr>
                <w:rFonts w:ascii="Arial" w:hAnsi="Arial"/>
                <w:b w:val="0"/>
                <w:i w:val="0"/>
                <w:sz w:val="18"/>
              </w:rPr>
              <w:t>El procesamiento de datos sensibles (salud, genética, biometría, raza/color, etnia, religión, vida sexual) exige protección reforzada y base legal específica en la LGPD.</w:t>
            </w:r>
          </w:p>
        </w:tc>
      </w:tr>
      <w:tr>
        <w:tc>
          <w:tcPr>
            <w:tcW w:type="dxa" w:w="2608"/>
          </w:tcPr>
          <w:p>
            <w:r>
              <w:rPr>
                <w:rFonts w:ascii="Arial" w:hAnsi="Arial"/>
                <w:b/>
                <w:i w:val="0"/>
                <w:sz w:val="19"/>
              </w:rPr>
              <w:t>P6.2</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+7 pts</w:t>
            </w:r>
          </w:p>
        </w:tc>
        <w:tc>
          <w:tcPr>
            <w:tcW w:type="dxa" w:w="7030"/>
          </w:tcPr>
          <w:p>
            <w:r>
              <w:rPr>
                <w:rFonts w:ascii="Arial" w:hAnsi="Arial"/>
                <w:b/>
                <w:i w:val="0"/>
                <w:sz w:val="19"/>
              </w:rPr>
              <w:t>¿Los datos son transferidos o procesados en servidores fuera de Brasil?</w:t>
            </w:r>
          </w:p>
          <w:p>
            <w:r>
              <w:rPr>
                <w:rFonts w:ascii="Arial" w:hAnsi="Arial"/>
                <w:b/>
                <w:i w:val="0"/>
                <w:sz w:val="18"/>
              </w:rPr>
              <w:t xml:space="preserve">Orientación. </w:t>
            </w:r>
            <w:r>
              <w:rPr>
                <w:rFonts w:ascii="Arial" w:hAnsi="Arial"/>
                <w:b w:val="0"/>
                <w:i w:val="0"/>
                <w:sz w:val="18"/>
              </w:rPr>
              <w:t>Transferir o procesar datos fuera de Brasil exige evaluar la adecuación del destino y adoptar salvaguardas adicionales, reduciendo la gobernanza nacional sobre los datos.</w:t>
            </w:r>
          </w:p>
        </w:tc>
      </w:tr>
      <w:tr>
        <w:tc>
          <w:tcPr>
            <w:tcW w:type="dxa" w:w="2608"/>
          </w:tcPr>
          <w:p>
            <w:r>
              <w:rPr>
                <w:rFonts w:ascii="Arial" w:hAnsi="Arial"/>
                <w:b/>
                <w:i w:val="0"/>
                <w:sz w:val="19"/>
              </w:rPr>
              <w:t>P6.3</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+7 pts</w:t>
            </w:r>
          </w:p>
        </w:tc>
        <w:tc>
          <w:tcPr>
            <w:tcW w:type="dxa" w:w="7030"/>
          </w:tcPr>
          <w:p>
            <w:r>
              <w:rPr>
                <w:rFonts w:ascii="Arial" w:hAnsi="Arial"/>
                <w:b/>
                <w:i w:val="0"/>
                <w:sz w:val="19"/>
              </w:rPr>
              <w:t>¿Existe riesgo real de reidentificación de las personas participantes a partir de los datos utilizados o generados por el sistema?</w:t>
            </w:r>
          </w:p>
          <w:p>
            <w:r>
              <w:rPr>
                <w:rFonts w:ascii="Arial" w:hAnsi="Arial"/>
                <w:b/>
                <w:i w:val="0"/>
                <w:sz w:val="18"/>
              </w:rPr>
              <w:t xml:space="preserve">Orientación. </w:t>
            </w:r>
            <w:r>
              <w:rPr>
                <w:rFonts w:ascii="Arial" w:hAnsi="Arial"/>
                <w:b w:val="0"/>
                <w:i w:val="0"/>
                <w:sz w:val="18"/>
              </w:rPr>
              <w:t>Un riesgo real de reidentificación compromete la promesa de anonimato y amplía los daños potenciales a la privacidad y a la seguridad.</w:t>
            </w:r>
          </w:p>
        </w:tc>
      </w:tr>
      <w:tr>
        <w:tc>
          <w:tcPr>
            <w:tcW w:type="dxa" w:w="2608"/>
          </w:tcPr>
          <w:p>
            <w:r>
              <w:rPr>
                <w:rFonts w:ascii="Arial" w:hAnsi="Arial"/>
                <w:b/>
                <w:i w:val="0"/>
                <w:sz w:val="19"/>
              </w:rPr>
              <w:t>P6.4</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+6 pts</w:t>
            </w:r>
          </w:p>
        </w:tc>
        <w:tc>
          <w:tcPr>
            <w:tcW w:type="dxa" w:w="7030"/>
          </w:tcPr>
          <w:p>
            <w:r>
              <w:rPr>
                <w:rFonts w:ascii="Arial" w:hAnsi="Arial"/>
                <w:b/>
                <w:i w:val="0"/>
                <w:sz w:val="19"/>
              </w:rPr>
              <w:t>¿El consentimiento obtenido cubre explícitamente el uso de los datos para entrenamiento o reentrenamiento de modelos de IA?</w:t>
            </w:r>
          </w:p>
          <w:p>
            <w:r>
              <w:rPr>
                <w:rFonts w:ascii="Arial" w:hAnsi="Arial"/>
                <w:b/>
                <w:i w:val="0"/>
                <w:sz w:val="18"/>
              </w:rPr>
              <w:t xml:space="preserve">Orientación. </w:t>
            </w:r>
            <w:r>
              <w:rPr>
                <w:rFonts w:ascii="Arial" w:hAnsi="Arial"/>
                <w:b w:val="0"/>
                <w:i w:val="0"/>
                <w:sz w:val="18"/>
              </w:rPr>
              <w:t>El consentimiento genérico no basta para entrenar/reentrenar modelos; se requiere consentimiento específico e informado para ese uso.</w:t>
            </w:r>
          </w:p>
        </w:tc>
      </w:tr>
      <w:tr>
        <w:tc>
          <w:tcPr>
            <w:tcW w:type="dxa" w:w="2608"/>
          </w:tcPr>
          <w:p>
            <w:r>
              <w:rPr>
                <w:rFonts w:ascii="Arial" w:hAnsi="Arial"/>
                <w:b/>
                <w:i w:val="0"/>
                <w:sz w:val="19"/>
              </w:rPr>
              <w:t>P6.5</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+7 pts</w:t>
            </w:r>
          </w:p>
        </w:tc>
        <w:tc>
          <w:tcPr>
            <w:tcW w:type="dxa" w:w="7030"/>
          </w:tcPr>
          <w:p>
            <w:r>
              <w:rPr>
                <w:rFonts w:ascii="Arial" w:hAnsi="Arial"/>
                <w:b/>
                <w:i w:val="0"/>
                <w:sz w:val="19"/>
              </w:rPr>
              <w:t>¿El protocolo demuestra conformidad con la LGPD — base legal identificada, finalidad declarada, Encargado de Datos (DPO) indicado?</w:t>
            </w:r>
          </w:p>
          <w:p>
            <w:r>
              <w:rPr>
                <w:rFonts w:ascii="Arial" w:hAnsi="Arial"/>
                <w:b/>
                <w:i w:val="0"/>
                <w:sz w:val="18"/>
              </w:rPr>
              <w:t xml:space="preserve">Orientación. </w:t>
            </w:r>
            <w:r>
              <w:rPr>
                <w:rFonts w:ascii="Arial" w:hAnsi="Arial"/>
                <w:b w:val="0"/>
                <w:i w:val="0"/>
                <w:sz w:val="18"/>
              </w:rPr>
              <w:t>Sin base legal, finalidad declarada y Encargado (DPO) indicado, el protocolo no demuestra conformidad con la LGPD, exponiendo a riesgos legales y éticos.</w:t>
            </w:r>
          </w:p>
        </w:tc>
      </w:tr>
      <w:tr>
        <w:tc>
          <w:tcPr>
            <w:tcW w:type="dxa" w:w="2608"/>
          </w:tcPr>
          <w:p>
            <w:r>
              <w:rPr>
                <w:rFonts w:ascii="Arial" w:hAnsi="Arial"/>
                <w:b/>
                <w:i w:val="0"/>
                <w:sz w:val="19"/>
              </w:rPr>
              <w:t>P6.6</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tc>
        <w:tc>
          <w:tcPr>
            <w:tcW w:type="dxa" w:w="7030"/>
          </w:tcPr>
          <w:p>
            <w:r>
              <w:rPr>
                <w:rFonts w:ascii="Arial" w:hAnsi="Arial"/>
                <w:b/>
                <w:i w:val="0"/>
                <w:sz w:val="19"/>
              </w:rPr>
              <w:t>¿El protocolo prevé un plan de respuesta a incidentes de seguridad que involucren los datos procesados por la IA?</w:t>
            </w:r>
          </w:p>
          <w:p>
            <w:r>
              <w:rPr>
                <w:rFonts w:ascii="Arial" w:hAnsi="Arial"/>
                <w:b/>
                <w:i w:val="0"/>
                <w:sz w:val="18"/>
              </w:rPr>
              <w:t xml:space="preserve">Orientación. </w:t>
            </w:r>
            <w:r>
              <w:rPr>
                <w:rFonts w:ascii="Arial" w:hAnsi="Arial"/>
                <w:b w:val="0"/>
                <w:i w:val="0"/>
                <w:sz w:val="18"/>
              </w:rPr>
              <w:t>Sin un plan de respuesta a incidentes, una filtración o un acceso indebido puede no ser contenido a tiempo, agravando los daños.</w:t>
            </w:r>
          </w:p>
        </w:tc>
      </w:tr>
      <w:tr>
        <w:tc>
          <w:tcPr>
            <w:tcW w:type="dxa" w:w="2608"/>
          </w:tcPr>
          <w:p>
            <w:r>
              <w:rPr>
                <w:rFonts w:ascii="Arial" w:hAnsi="Arial"/>
                <w:b/>
                <w:i w:val="0"/>
                <w:sz w:val="19"/>
              </w:rPr>
              <w:t>P6.7</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+6 pts</w:t>
            </w:r>
          </w:p>
        </w:tc>
        <w:tc>
          <w:tcPr>
            <w:tcW w:type="dxa" w:w="7030"/>
          </w:tcPr>
          <w:p>
            <w:r>
              <w:rPr>
                <w:rFonts w:ascii="Arial" w:hAnsi="Arial"/>
                <w:b/>
                <w:i w:val="0"/>
                <w:sz w:val="19"/>
              </w:rPr>
              <w:t>¿Los datos de entrenamiento del modelo fueron recolectados con un consentimiento compatible con el uso previsto en este protocolo?</w:t>
            </w:r>
          </w:p>
          <w:p>
            <w:r>
              <w:rPr>
                <w:rFonts w:ascii="Arial" w:hAnsi="Arial"/>
                <w:b/>
                <w:i w:val="0"/>
                <w:sz w:val="18"/>
              </w:rPr>
              <w:t xml:space="preserve">Orientación. </w:t>
            </w:r>
            <w:r>
              <w:rPr>
                <w:rFonts w:ascii="Arial" w:hAnsi="Arial"/>
                <w:b w:val="0"/>
                <w:i w:val="0"/>
                <w:sz w:val="18"/>
              </w:rPr>
              <w:t>Los datos de entrenamiento recolectados para otra finalidad pueden no tener base legal para su uso en IA en este protocolo.</w:t>
            </w:r>
          </w:p>
        </w:tc>
      </w:tr>
      <w:tr>
        <w:tc>
          <w:tcPr>
            <w:tcW w:type="dxa" w:w="2608"/>
          </w:tcPr>
          <w:p>
            <w:r>
              <w:rPr>
                <w:rFonts w:ascii="Arial" w:hAnsi="Arial"/>
                <w:b/>
                <w:i w:val="0"/>
                <w:sz w:val="19"/>
              </w:rPr>
              <w:t>P6.8</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tc>
        <w:tc>
          <w:tcPr>
            <w:tcW w:type="dxa" w:w="7030"/>
          </w:tcPr>
          <w:p>
            <w:r>
              <w:rPr>
                <w:rFonts w:ascii="Arial" w:hAnsi="Arial"/>
                <w:b/>
                <w:i w:val="0"/>
                <w:sz w:val="19"/>
              </w:rPr>
              <w:t>¿El protocolo describe cómo se almacenarán los datos, por cuánto tiempo y cómo se eliminarán al final del estudio?</w:t>
            </w:r>
          </w:p>
          <w:p>
            <w:r>
              <w:rPr>
                <w:rFonts w:ascii="Arial" w:hAnsi="Arial"/>
                <w:b/>
                <w:i w:val="0"/>
                <w:sz w:val="18"/>
              </w:rPr>
              <w:t xml:space="preserve">Orientación. </w:t>
            </w:r>
            <w:r>
              <w:rPr>
                <w:rFonts w:ascii="Arial" w:hAnsi="Arial"/>
                <w:b w:val="0"/>
                <w:i w:val="0"/>
                <w:sz w:val="18"/>
              </w:rPr>
              <w:t>La ausencia de una política de almacenamiento, retención y eliminación abre espacio para el uso indebido de los datos después del estudio.</w:t>
            </w:r>
          </w:p>
        </w:tc>
      </w:tr>
      <w:tr>
        <w:tc>
          <w:tcPr>
            <w:tcW w:type="dxa" w:w="2608"/>
          </w:tcPr>
          <w:p>
            <w:r>
              <w:rPr>
                <w:rFonts w:ascii="Arial" w:hAnsi="Arial"/>
                <w:b/>
                <w:i w:val="0"/>
                <w:sz w:val="19"/>
              </w:rPr>
              <w:t>P6.9</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tc>
        <w:tc>
          <w:tcPr>
            <w:tcW w:type="dxa" w:w="7030"/>
          </w:tcPr>
          <w:p>
            <w:r>
              <w:rPr>
                <w:rFonts w:ascii="Arial" w:hAnsi="Arial"/>
                <w:b/>
                <w:i w:val="0"/>
                <w:sz w:val="19"/>
              </w:rPr>
              <w:t>¿El protocolo restringe el acceso a los datos identificables a lo estrictamente necesario, con control de acceso por perfil e identificación de los responsables?</w:t>
            </w:r>
          </w:p>
          <w:p>
            <w:r>
              <w:rPr>
                <w:rFonts w:ascii="Arial" w:hAnsi="Arial"/>
                <w:b/>
                <w:i w:val="0"/>
                <w:sz w:val="18"/>
              </w:rPr>
              <w:t xml:space="preserve">Orientación. </w:t>
            </w:r>
            <w:r>
              <w:rPr>
                <w:rFonts w:ascii="Arial" w:hAnsi="Arial"/>
                <w:b w:val="0"/>
                <w:i w:val="0"/>
                <w:sz w:val="18"/>
              </w:rPr>
              <w:t>La respuesta debe indicar quién accede, con qué perfil y bajo qué registro.</w:t>
            </w:r>
          </w:p>
        </w:tc>
      </w:tr>
      <w:tr>
        <w:tc>
          <w:tcPr>
            <w:tcW w:type="dxa" w:w="2608"/>
          </w:tcPr>
          <w:p>
            <w:r>
              <w:rPr>
                <w:rFonts w:ascii="Arial" w:hAnsi="Arial"/>
                <w:b/>
                <w:i w:val="0"/>
                <w:sz w:val="19"/>
              </w:rPr>
              <w:t>P6.10</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tc>
        <w:tc>
          <w:tcPr>
            <w:tcW w:type="dxa" w:w="7030"/>
          </w:tcPr>
          <w:p>
            <w:r>
              <w:rPr>
                <w:rFonts w:ascii="Arial" w:hAnsi="Arial"/>
                <w:b/>
                <w:i w:val="0"/>
                <w:sz w:val="19"/>
              </w:rPr>
              <w:t>¿El protocolo prevé un registro (log) auditable de las operaciones de tratamiento de datos y de inferencia realizadas por el sistema?</w:t>
            </w:r>
          </w:p>
          <w:p>
            <w:r>
              <w:rPr>
                <w:rFonts w:ascii="Arial" w:hAnsi="Arial"/>
                <w:b/>
                <w:i w:val="0"/>
                <w:sz w:val="18"/>
              </w:rPr>
              <w:t xml:space="preserve">Orientación. </w:t>
            </w:r>
            <w:r>
              <w:rPr>
                <w:rFonts w:ascii="Arial" w:hAnsi="Arial"/>
                <w:b w:val="0"/>
                <w:i w:val="0"/>
                <w:sz w:val="18"/>
              </w:rPr>
              <w:t>Log auditable = registro íntegro, con fecha y atribuible de las operaciones, consultable en fiscalización. Nota: cuando el sistema genere inferencias clínicas, diagnósticas o predictivas (ver 2.1/P5.1), el log debe permitir rastrear, por decisión: identificador de la inferencia, versión/configuración del modelo, datos de entrada (o referencia pseudonimizada a ellos), salida del sistema y operador humano responsable.</w:t>
            </w:r>
          </w:p>
        </w:tc>
      </w:tr>
      <w:tr>
        <w:tc>
          <w:tcPr>
            <w:tcW w:type="dxa" w:w="2608"/>
          </w:tcPr>
          <w:p>
            <w:r>
              <w:rPr>
                <w:rFonts w:ascii="Arial" w:hAnsi="Arial"/>
                <w:b/>
                <w:i w:val="0"/>
                <w:sz w:val="19"/>
              </w:rPr>
              <w:t>P6.11</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tc>
        <w:tc>
          <w:tcPr>
            <w:tcW w:type="dxa" w:w="7030"/>
          </w:tcPr>
          <w:p>
            <w:r>
              <w:rPr>
                <w:rFonts w:ascii="Arial" w:hAnsi="Arial"/>
                <w:b/>
                <w:i w:val="0"/>
                <w:sz w:val="19"/>
              </w:rPr>
              <w:t>¿El protocolo describe el entorno computacional de procesamiento y sus controles mínimos de seguridad (aislamiento, cifrado y, cuando corresponda, certificaciones)?</w:t>
            </w:r>
          </w:p>
          <w:p>
            <w:r>
              <w:rPr>
                <w:rFonts w:ascii="Arial" w:hAnsi="Arial"/>
                <w:b/>
                <w:i w:val="0"/>
                <w:sz w:val="18"/>
              </w:rPr>
              <w:t xml:space="preserve">Orientación. </w:t>
            </w:r>
            <w:r>
              <w:rPr>
                <w:rFonts w:ascii="Arial" w:hAnsi="Arial"/>
                <w:b w:val="0"/>
                <w:i w:val="0"/>
                <w:sz w:val="18"/>
              </w:rPr>
              <w:t>No exigir una certificación específica: exigir la descripción del entorno y de los controles. La certificación es evidencia, no condición. Nota: cuando el procesamiento dependa de un proveedor externo (nube, servicio de IA o modelo de terceros), la descripción del entorno incluye las condiciones contractuales de uso de los datos por el proveedor: prohibición de reutilización, entrenamiento o retención para finalidad propia; garantías de confidencialidad; y portabilidad/salida (vendor lock-in), proporcionales al riesgo. Verificar 3.2/P6.2 y 3.3/P6.4.</w:t>
            </w:r>
          </w:p>
        </w:tc>
      </w:tr>
      <w:tr>
        <w:tc>
          <w:tcPr>
            <w:tcW w:type="dxa" w:w="2608"/>
          </w:tcPr>
          <w:p>
            <w:r>
              <w:rPr>
                <w:rFonts w:ascii="Arial" w:hAnsi="Arial"/>
                <w:b/>
                <w:i w:val="0"/>
                <w:sz w:val="19"/>
              </w:rPr>
              <w:t>P6.12</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+5 pts</w:t>
            </w:r>
          </w:p>
          <w:p>
            <w:r>
              <w:rPr>
                <w:rFonts w:ascii="Arial" w:hAnsi="Arial"/>
                <w:b w:val="0"/>
                <w:i/>
                <w:color w:val="555555"/>
                <w:sz w:val="16"/>
              </w:rPr>
              <w:t>admite «No se aplica»</w:t>
            </w:r>
          </w:p>
        </w:tc>
        <w:tc>
          <w:tcPr>
            <w:tcW w:type="dxa" w:w="7030"/>
          </w:tcPr>
          <w:p>
            <w:r>
              <w:rPr>
                <w:rFonts w:ascii="Arial" w:hAnsi="Arial"/>
                <w:b/>
                <w:i w:val="0"/>
                <w:sz w:val="19"/>
              </w:rPr>
              <w:t>¿Los datos del protocolo serán vinculados (linkage) a otras bases de datos, propias o externas?</w:t>
            </w:r>
          </w:p>
          <w:p>
            <w:r>
              <w:rPr>
                <w:rFonts w:ascii="Arial" w:hAnsi="Arial"/>
                <w:b/>
                <w:i w:val="0"/>
                <w:sz w:val="18"/>
              </w:rPr>
              <w:t xml:space="preserve">Orientación. </w:t>
            </w:r>
            <w:r>
              <w:rPr>
                <w:rFonts w:ascii="Arial" w:hAnsi="Arial"/>
                <w:b w:val="0"/>
                <w:i w:val="0"/>
                <w:sz w:val="18"/>
              </w:rPr>
              <w:t>Si hay linkage, la evaluación de reidentificación (3.5 / P6.3) debe considerar explícitamente el cruce de las bases involucradas.</w:t>
            </w:r>
          </w:p>
        </w:tc>
      </w:tr>
      <w:tr>
        <w:tc>
          <w:tcPr>
            <w:tcW w:type="dxa" w:w="2608"/>
          </w:tcPr>
          <w:p>
            <w:r>
              <w:rPr>
                <w:rFonts w:ascii="Arial" w:hAnsi="Arial"/>
                <w:b/>
                <w:i w:val="0"/>
                <w:sz w:val="19"/>
              </w:rPr>
              <w:t>P6.13</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+7 pts</w:t>
            </w:r>
          </w:p>
          <w:p>
            <w:r>
              <w:rPr>
                <w:rFonts w:ascii="Arial" w:hAnsi="Arial"/>
                <w:b w:val="0"/>
                <w:i/>
                <w:color w:val="555555"/>
                <w:sz w:val="16"/>
              </w:rPr>
              <w:t>admite «No se aplica»</w:t>
            </w:r>
          </w:p>
        </w:tc>
        <w:tc>
          <w:tcPr>
            <w:tcW w:type="dxa" w:w="7030"/>
          </w:tcPr>
          <w:p>
            <w:r>
              <w:rPr>
                <w:rFonts w:ascii="Arial" w:hAnsi="Arial"/>
                <w:b/>
                <w:i w:val="0"/>
                <w:sz w:val="19"/>
              </w:rPr>
              <w:t>Para sistemas con procesamiento de lenguaje natural, grandes modelos de lenguaje o generación de datos sintéticos: ¿hay pruebas documentadas de robustez contra la memorización y la extracción de datos de entrenamiento (ataques de extracción o de inferencia de pertenencia)?</w:t>
            </w:r>
          </w:p>
          <w:p>
            <w:r>
              <w:rPr>
                <w:rFonts w:ascii="Arial" w:hAnsi="Arial"/>
                <w:b/>
                <w:i w:val="0"/>
                <w:sz w:val="18"/>
              </w:rPr>
              <w:t xml:space="preserve">Orientación. </w:t>
            </w:r>
            <w:r>
              <w:rPr>
                <w:rFonts w:ascii="Arial" w:hAnsi="Arial"/>
                <w:b w:val="0"/>
                <w:i w:val="0"/>
                <w:sz w:val="18"/>
              </w:rPr>
              <w:t>Aplicable solo a PLN/LLM/datos sintéticos (N/A en los demás casos).</w:t>
            </w:r>
          </w:p>
        </w:tc>
      </w:tr>
    </w:tbl>
    <w:p>
      <w:pPr>
        <w:spacing w:before="200" w:after="80"/>
      </w:pPr>
      <w:r>
        <w:rPr>
          <w:rFonts w:ascii="Arial" w:hAnsi="Arial"/>
          <w:b/>
          <w:i w:val="0"/>
          <w:color w:val="0F766E"/>
          <w:sz w:val="25"/>
        </w:rPr>
        <w:t>Bloque 6.b: Bancos de Datos de Investigación (Res. CNS n.º 738/2024) (máx. 29 pts)</w:t>
      </w:r>
    </w:p>
    <w:p>
      <w:pPr>
        <w:spacing w:after="120"/>
      </w:pPr>
      <w:r>
        <w:rPr>
          <w:rFonts w:ascii="Arial" w:hAnsi="Arial"/>
          <w:b w:val="0"/>
          <w:i w:val="0"/>
          <w:color w:val="555555"/>
          <w:sz w:val="19"/>
        </w:rPr>
        <w:t>Subsección aplicable cuando el protocolo utiliza banco de datos. Deriva de la Resolución CNS n.º 738/2024 y complementa el Bloque 6. La puntuación se suma al Bloque 6 para el cálculo final.</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P6.b.1</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+7 pts</w:t>
            </w:r>
          </w:p>
        </w:tc>
        <w:tc>
          <w:tcPr>
            <w:tcW w:type="dxa" w:w="7030"/>
          </w:tcPr>
          <w:p>
            <w:r>
              <w:rPr>
                <w:rFonts w:ascii="Arial" w:hAnsi="Arial"/>
                <w:b/>
                <w:i w:val="0"/>
                <w:sz w:val="19"/>
              </w:rPr>
              <w:t>¿El protocolo identifica al Controlador del banco de datos (art. 3.º, IV de la Res. CNS n.º 738/2024) con cargo, función e institución vinculada?</w:t>
            </w:r>
          </w:p>
          <w:p>
            <w:r>
              <w:rPr>
                <w:rFonts w:ascii="Arial" w:hAnsi="Arial"/>
                <w:b/>
                <w:i w:val="0"/>
                <w:sz w:val="18"/>
              </w:rPr>
              <w:t xml:space="preserve">Orientación. </w:t>
            </w:r>
            <w:r>
              <w:rPr>
                <w:rFonts w:ascii="Arial" w:hAnsi="Arial"/>
                <w:b w:val="0"/>
                <w:i w:val="0"/>
                <w:sz w:val="18"/>
              </w:rPr>
              <w:t>Identifica al Controlador del banco (Arts. 3.º, IV y 9.º de la Res. CNS n.º 738/2024), con cargo, función e institución. Sin ello, no hay cadena de custodia formalizada sobre los datos. Ítem del Bloque 6.b (Res. 738), aplicable solo cuando el protocolo usa banco de datos; sus puntos suman al escore.</w:t>
            </w:r>
          </w:p>
        </w:tc>
      </w:tr>
      <w:tr>
        <w:tc>
          <w:tcPr>
            <w:tcW w:type="dxa" w:w="2608"/>
          </w:tcPr>
          <w:p>
            <w:r>
              <w:rPr>
                <w:rFonts w:ascii="Arial" w:hAnsi="Arial"/>
                <w:b/>
                <w:i w:val="0"/>
                <w:sz w:val="19"/>
              </w:rPr>
              <w:t>P6.b.2</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+7 pts</w:t>
            </w:r>
          </w:p>
          <w:p>
            <w:r>
              <w:rPr>
                <w:rFonts w:ascii="Arial" w:hAnsi="Arial"/>
                <w:b w:val="0"/>
                <w:i/>
                <w:color w:val="555555"/>
                <w:sz w:val="16"/>
              </w:rPr>
              <w:t>ELIMINATORIA</w:t>
            </w:r>
          </w:p>
          <w:p>
            <w:r>
              <w:rPr>
                <w:rFonts w:ascii="Arial" w:hAnsi="Arial"/>
                <w:b w:val="0"/>
                <w:i/>
                <w:color w:val="555555"/>
                <w:sz w:val="16"/>
              </w:rPr>
              <w:t>admite «No se aplica»</w:t>
            </w:r>
          </w:p>
        </w:tc>
        <w:tc>
          <w:tcPr>
            <w:tcW w:type="dxa" w:w="7030"/>
          </w:tcPr>
          <w:p>
            <w:r>
              <w:rPr>
                <w:rFonts w:ascii="Arial" w:hAnsi="Arial"/>
                <w:b/>
                <w:i w:val="0"/>
                <w:sz w:val="19"/>
              </w:rPr>
              <w:t>Si el banco fue constituido fuera del ámbito de investigación (origen no investigativo: historias clínicas, registros, bases administrativas): ¿el Término de Anuencia Institucional (Art. 27, VI de la Res. CNS n.º 738/2024) está presente?</w:t>
            </w:r>
          </w:p>
          <w:p>
            <w:r>
              <w:rPr>
                <w:rFonts w:ascii="Arial" w:hAnsi="Arial"/>
                <w:b/>
                <w:i w:val="0"/>
                <w:sz w:val="18"/>
              </w:rPr>
              <w:t xml:space="preserve">Orientación. </w:t>
            </w:r>
            <w:r>
              <w:rPr>
                <w:rFonts w:ascii="Arial" w:hAnsi="Arial"/>
                <w:b w:val="0"/>
                <w:i w:val="0"/>
                <w:sz w:val="18"/>
              </w:rPr>
              <w:t>Verifica el Término de Anuencia Institucional (Art. 27, VI de la Res. CNS n.º 738/2024), firmado por el responsable (directivo o persona por él delegada) de la institución de donde provienen los datos — exigible solo para banco constituido fuera del ámbito de investigación (origen no investigativo: historias clínicas, registros, bases administrativas). Salvaguarda de Inevaluabilidad: en ese caso, su ausencia torna el protocolo «no evaluable por la MARIAH» (§7.3.6), independientemente de la puntuación total. Marque «No se aplica» cuando el banco fue constituido en el ámbito de investigación — incluido el reuso de un banco de investigación anterior del propio investigador —, hipótesis regida por el Art. 24 (Término de Compromiso de Uso de Datos), que no exige Anuencia.</w:t>
            </w:r>
          </w:p>
        </w:tc>
      </w:tr>
      <w:tr>
        <w:tc>
          <w:tcPr>
            <w:tcW w:type="dxa" w:w="2608"/>
          </w:tcPr>
          <w:p>
            <w:r>
              <w:rPr>
                <w:rFonts w:ascii="Arial" w:hAnsi="Arial"/>
                <w:b/>
                <w:i w:val="0"/>
                <w:sz w:val="19"/>
              </w:rPr>
              <w:t>P6.b.3</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tc>
        <w:tc>
          <w:tcPr>
            <w:tcW w:type="dxa" w:w="7030"/>
          </w:tcPr>
          <w:p>
            <w:r>
              <w:rPr>
                <w:rFonts w:ascii="Arial" w:hAnsi="Arial"/>
                <w:b/>
                <w:i w:val="0"/>
                <w:sz w:val="19"/>
              </w:rPr>
              <w:t>¿El Término de Compromiso de Uso de Datos (Arts. 24, V y 27, V) está firmado por los investigadores y anexado al dosier?</w:t>
            </w:r>
          </w:p>
          <w:p>
            <w:r>
              <w:rPr>
                <w:rFonts w:ascii="Arial" w:hAnsi="Arial"/>
                <w:b/>
                <w:i w:val="0"/>
                <w:sz w:val="18"/>
              </w:rPr>
              <w:t xml:space="preserve">Orientación. </w:t>
            </w:r>
            <w:r>
              <w:rPr>
                <w:rFonts w:ascii="Arial" w:hAnsi="Arial"/>
                <w:b w:val="0"/>
                <w:i w:val="0"/>
                <w:sz w:val="18"/>
              </w:rPr>
              <w:t>Confirma el Término de Compromiso de Uso de Datos, firmado por los investigadores (Arts. 24, V y 27, V de la Res. CNS n.º 738/2024). Es distinto del Término de Anuencia (P6.b.2): el Compromiso es de los investigadores; la Anuencia, del responsable (directivo o persona por él delegada) de la institución que posee los datos. Ítem del Bloque 6.b (Res. 738); sus puntos suman al escore.</w:t>
            </w:r>
          </w:p>
        </w:tc>
      </w:tr>
      <w:tr>
        <w:tc>
          <w:tcPr>
            <w:tcW w:type="dxa" w:w="2608"/>
          </w:tcPr>
          <w:p>
            <w:r>
              <w:rPr>
                <w:rFonts w:ascii="Arial" w:hAnsi="Arial"/>
                <w:b/>
                <w:i w:val="0"/>
                <w:sz w:val="19"/>
              </w:rPr>
              <w:t>P6.b.4</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p>
            <w:r>
              <w:rPr>
                <w:rFonts w:ascii="Arial" w:hAnsi="Arial"/>
                <w:b w:val="0"/>
                <w:i/>
                <w:color w:val="555555"/>
                <w:sz w:val="16"/>
              </w:rPr>
              <w:t>admite «No se aplica»</w:t>
            </w:r>
          </w:p>
        </w:tc>
        <w:tc>
          <w:tcPr>
            <w:tcW w:type="dxa" w:w="7030"/>
          </w:tcPr>
          <w:p>
            <w:r>
              <w:rPr>
                <w:rFonts w:ascii="Arial" w:hAnsi="Arial"/>
                <w:b/>
                <w:i w:val="0"/>
                <w:sz w:val="19"/>
              </w:rPr>
              <w:t>Si hay una solicitud de dispensa del TCLE para uso futuro: ¿el protocolo identifica el origen del banco e indica expresamente la hipótesis invocada de la Res. CNS n.º 738/2024, y la fundamenta? Para banco constituido fuera del ámbito de la investigación (art. 27), la única vía es la anonimización por el Controlador (art. 20, § 5.º). Para banco constituido en el ámbito de la investigación, el art. 25 admite cuatro situaciones: (i) datos recolectados originalmente sin identificación de la persona participante; (ii) consentimiento previo de la persona participante, manifestado en TCLE de una investigación anterior, para uso en investigaciones futuras, en la forma del art. 40, X, de la Ley n.º 14.874/2024; (iii) compartición de datos anonimizados por el Controlador; (iv) anonimización irreversible de los datos en el protocolo original, hipótesis en que el dato deja de ser dato personal (art. 12 de la LGPD).</w:t>
            </w:r>
          </w:p>
          <w:p>
            <w:r>
              <w:rPr>
                <w:rFonts w:ascii="Arial" w:hAnsi="Arial"/>
                <w:b/>
                <w:i w:val="0"/>
                <w:sz w:val="18"/>
              </w:rPr>
              <w:t xml:space="preserve">Orientación. </w:t>
            </w:r>
            <w:r>
              <w:rPr>
                <w:rFonts w:ascii="Arial" w:hAnsi="Arial"/>
                <w:b w:val="0"/>
                <w:i w:val="0"/>
                <w:sz w:val="18"/>
              </w:rPr>
              <w:t>La dispensa del TCLE para uso futuro no es automática: exige el encuadre en la hipótesis correspondiente según el origen del banco (Res. CNS n.º 738/2024). Banco constituido fuera del ámbito de la investigación → la única vía es la anonimización por el Controlador (art. 20, § 5.º). Banco constituido en el ámbito de la investigación → art. 25, cuatro situaciones. Una justificación genérica no basta.</w:t>
            </w:r>
          </w:p>
        </w:tc>
      </w:tr>
      <w:tr>
        <w:tc>
          <w:tcPr>
            <w:tcW w:type="dxa" w:w="2608"/>
          </w:tcPr>
          <w:p>
            <w:r>
              <w:rPr>
                <w:rFonts w:ascii="Arial" w:hAnsi="Arial"/>
                <w:b/>
                <w:i w:val="0"/>
                <w:sz w:val="19"/>
              </w:rPr>
              <w:t>P6.b.5</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tc>
        <w:tc>
          <w:tcPr>
            <w:tcW w:type="dxa" w:w="7030"/>
          </w:tcPr>
          <w:p>
            <w:r>
              <w:rPr>
                <w:rFonts w:ascii="Arial" w:hAnsi="Arial"/>
                <w:b/>
                <w:i w:val="0"/>
                <w:sz w:val="19"/>
              </w:rPr>
              <w:t>Si el protocolo es multicéntrico, involucra a más de una institución o prevé la compartición del banco con terceros: ¿hay un acuerdo formal de compartición o controladoría conjunta formalizada en Término de Acuerdo Institucional (art. 3.º, XVI y § 2.º del art. 12)?</w:t>
            </w:r>
          </w:p>
          <w:p>
            <w:r>
              <w:rPr>
                <w:rFonts w:ascii="Arial" w:hAnsi="Arial"/>
                <w:b/>
                <w:i w:val="0"/>
                <w:sz w:val="18"/>
              </w:rPr>
              <w:t xml:space="preserve">Orientación. </w:t>
            </w:r>
            <w:r>
              <w:rPr>
                <w:rFonts w:ascii="Arial" w:hAnsi="Arial"/>
                <w:b w:val="0"/>
                <w:i w:val="0"/>
                <w:sz w:val="18"/>
              </w:rPr>
              <w:t>En investigación multicéntrica, la controladoría conjunta debe estar formalizada en Término de Acuerdo Institucional (Art. 3.º, XVI y §2.º del Art. 12 de la Res. CNS n.º 738/2024). Ítem del Bloque 6.b (Res. 738); sus puntos suman al escore.</w:t>
            </w:r>
          </w:p>
        </w:tc>
      </w:tr>
      <w:tr>
        <w:tc>
          <w:tcPr>
            <w:tcW w:type="dxa" w:w="2608"/>
          </w:tcPr>
          <w:p>
            <w:r>
              <w:rPr>
                <w:rFonts w:ascii="Arial" w:hAnsi="Arial"/>
                <w:b/>
                <w:i w:val="0"/>
                <w:sz w:val="19"/>
              </w:rPr>
              <w:t>P6.b.4.1</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0 pts</w:t>
            </w:r>
          </w:p>
          <w:p>
            <w:r>
              <w:rPr>
                <w:rFonts w:ascii="Arial" w:hAnsi="Arial"/>
                <w:b w:val="0"/>
                <w:i/>
                <w:color w:val="555555"/>
                <w:sz w:val="16"/>
              </w:rPr>
              <w:t>Diligencia (0 pt; devolución)</w:t>
            </w:r>
          </w:p>
          <w:p>
            <w:r>
              <w:rPr>
                <w:rFonts w:ascii="Arial" w:hAnsi="Arial"/>
                <w:b w:val="0"/>
                <w:i/>
                <w:color w:val="555555"/>
                <w:sz w:val="16"/>
              </w:rPr>
              <w:t>Condicional</w:t>
            </w:r>
          </w:p>
        </w:tc>
        <w:tc>
          <w:tcPr>
            <w:tcW w:type="dxa" w:w="7030"/>
          </w:tcPr>
          <w:p>
            <w:r>
              <w:rPr>
                <w:rFonts w:ascii="Arial" w:hAnsi="Arial"/>
                <w:b/>
                <w:i w:val="0"/>
                <w:sz w:val="19"/>
              </w:rPr>
              <w:t>Si hay una solicitud de dispensa del TCLE con acceso a datos identificables: ¿el acceso es indispensable para alcanzar los objetivos científicos de la investigación, o la misma finalidad podría lograrse mediante datos previamente anonimizados o pseudonimizados por la institución custodia?</w:t>
            </w:r>
          </w:p>
          <w:p>
            <w:r>
              <w:rPr>
                <w:rFonts w:ascii="Arial" w:hAnsi="Arial"/>
                <w:b/>
                <w:i w:val="0"/>
                <w:sz w:val="18"/>
              </w:rPr>
              <w:t xml:space="preserve">Orientación. </w:t>
            </w:r>
            <w:r>
              <w:rPr>
                <w:rFonts w:ascii="Arial" w:hAnsi="Arial"/>
                <w:b w:val="0"/>
                <w:i w:val="0"/>
                <w:sz w:val="18"/>
              </w:rPr>
              <w:t>Si la finalidad es alcanzable sin datos identificables y el protocolo aun así los requiere, el CEP lo devuelve para justificación o redireccionamiento a la anonimización por el Controlador (art. 20, § 5.º).</w:t>
            </w:r>
          </w:p>
        </w:tc>
      </w:tr>
      <w:tr>
        <w:tc>
          <w:tcPr>
            <w:tcW w:type="dxa" w:w="2608"/>
          </w:tcPr>
          <w:p>
            <w:r>
              <w:rPr>
                <w:rFonts w:ascii="Arial" w:hAnsi="Arial"/>
                <w:b/>
                <w:i w:val="0"/>
                <w:sz w:val="19"/>
              </w:rPr>
              <w:t>P6.b.6</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0 pts</w:t>
            </w:r>
          </w:p>
          <w:p>
            <w:r>
              <w:rPr>
                <w:rFonts w:ascii="Arial" w:hAnsi="Arial"/>
                <w:b w:val="0"/>
                <w:i/>
                <w:color w:val="555555"/>
                <w:sz w:val="16"/>
              </w:rPr>
              <w:t>Diligencia (0 pt; devolución)</w:t>
            </w:r>
          </w:p>
          <w:p>
            <w:r>
              <w:rPr>
                <w:rFonts w:ascii="Arial" w:hAnsi="Arial"/>
                <w:b w:val="0"/>
                <w:i/>
                <w:color w:val="555555"/>
                <w:sz w:val="16"/>
              </w:rPr>
              <w:t>Condicional</w:t>
            </w:r>
          </w:p>
        </w:tc>
        <w:tc>
          <w:tcPr>
            <w:tcW w:type="dxa" w:w="7030"/>
          </w:tcPr>
          <w:p>
            <w:r>
              <w:rPr>
                <w:rFonts w:ascii="Arial" w:hAnsi="Arial"/>
                <w:b/>
                <w:i w:val="0"/>
                <w:sz w:val="19"/>
              </w:rPr>
              <w:t>¿El protocolo cumple acumulativamente todos los criterios para la dispensa del TCLE en investigación con IA sobre bancos de datos? (i) datos secundarios obtenidos lícitamente; (ii) investigación retrospectiva, sin contacto con las personas participantes; (iii) imposibilidad práctica de obtención del TCLE debidamente justificada; (iv) riesgo mínimo para las personas participantes; (v) acceso a datos identificables limitado a lo estrictamente necesario, preferentemente datos pseudonimizados/anonimizados por la institución custodia; (vi) entorno seguro de procesamiento, con controles de acceso, auditoría y gobernanza; (vii) evaluación documentada del riesgo de reidentificación y de inferencia derivado del uso de la IA; (viii) inexistencia de decisiones o intervenciones individualizadas sobre las personas participantes con base en los resultados de la IA; (ix) finalidad científica delimitada, prohibido el entrenamiento de modelos de propósito general sin nueva apreciación ética.</w:t>
            </w:r>
          </w:p>
          <w:p>
            <w:r>
              <w:rPr>
                <w:rFonts w:ascii="Arial" w:hAnsi="Arial"/>
                <w:b/>
                <w:i w:val="0"/>
                <w:sz w:val="18"/>
              </w:rPr>
              <w:t xml:space="preserve">Orientación. </w:t>
            </w:r>
            <w:r>
              <w:rPr>
                <w:rFonts w:ascii="Arial" w:hAnsi="Arial"/>
                <w:b w:val="0"/>
                <w:i w:val="0"/>
                <w:sz w:val="18"/>
              </w:rPr>
              <w:t>El checklist no gradúa riesgo: verifica la admisibilidad de la dispensa. La puntuación del protocolo sigue por los demás bloques.</w:t>
            </w:r>
          </w:p>
        </w:tc>
      </w:tr>
      <w:tr>
        <w:tc>
          <w:tcPr>
            <w:tcW w:type="dxa" w:w="2608"/>
          </w:tcPr>
          <w:p>
            <w:r>
              <w:rPr>
                <w:rFonts w:ascii="Arial" w:hAnsi="Arial"/>
                <w:b/>
                <w:i w:val="0"/>
                <w:sz w:val="19"/>
              </w:rPr>
              <w:t>P6.b.7</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0 pts</w:t>
            </w:r>
          </w:p>
          <w:p>
            <w:r>
              <w:rPr>
                <w:rFonts w:ascii="Arial" w:hAnsi="Arial"/>
                <w:b w:val="0"/>
                <w:i/>
                <w:color w:val="555555"/>
                <w:sz w:val="16"/>
              </w:rPr>
              <w:t>Diligencia (0 pt; devolución)</w:t>
            </w:r>
          </w:p>
        </w:tc>
        <w:tc>
          <w:tcPr>
            <w:tcW w:type="dxa" w:w="7030"/>
          </w:tcPr>
          <w:p>
            <w:r>
              <w:rPr>
                <w:rFonts w:ascii="Arial" w:hAnsi="Arial"/>
                <w:b/>
                <w:i w:val="0"/>
                <w:sz w:val="19"/>
              </w:rPr>
              <w:t>¿El protocolo presenta una declaración del Controlador con el compromiso de anonimización de los datos antes de la puesta a disposición del banco a los investigadores?</w:t>
            </w:r>
          </w:p>
          <w:p>
            <w:r>
              <w:rPr>
                <w:rFonts w:ascii="Arial" w:hAnsi="Arial"/>
                <w:b/>
                <w:i w:val="0"/>
                <w:sz w:val="18"/>
              </w:rPr>
              <w:t xml:space="preserve">Orientación. </w:t>
            </w:r>
            <w:r>
              <w:rPr>
                <w:rFonts w:ascii="Arial" w:hAnsi="Arial"/>
                <w:b w:val="0"/>
                <w:i w:val="0"/>
                <w:sz w:val="18"/>
              </w:rPr>
              <w:t>Documento obligatorio del dosier de sumisión; la verificación es de presencia y validez de la declaración.</w:t>
            </w:r>
          </w:p>
        </w:tc>
      </w:tr>
    </w:tbl>
    <w:p>
      <w:pPr>
        <w:spacing w:before="200" w:after="80"/>
      </w:pPr>
      <w:r>
        <w:rPr>
          <w:rFonts w:ascii="Arial" w:hAnsi="Arial"/>
          <w:b/>
          <w:i w:val="0"/>
          <w:color w:val="0F766E"/>
          <w:sz w:val="25"/>
        </w:rPr>
        <w:t>Bloque 7: Mitigación (máx. 75 pts)</w:t>
      </w:r>
    </w:p>
    <w:p>
      <w:pPr>
        <w:spacing w:after="120"/>
      </w:pPr>
      <w:r>
        <w:rPr>
          <w:rFonts w:ascii="Arial" w:hAnsi="Arial"/>
          <w:b w:val="0"/>
          <w:i w:val="0"/>
          <w:color w:val="555555"/>
          <w:sz w:val="19"/>
        </w:rPr>
        <w:t>Evalúa consultas regulatorias y medidas de mitigación de riesgo. Puede reducir la puntuación total del protocolo.</w:t>
      </w:r>
    </w:p>
    <w:tbl>
      <w:tblPr>
        <w:tblStyle w:val="TableGrid"/>
        <w:tblW w:type="auto" w:w="0"/>
        <w:tblLook w:firstColumn="1" w:firstRow="1" w:lastColumn="0" w:lastRow="0" w:noHBand="0" w:noVBand="1" w:val="04A0"/>
      </w:tblPr>
      <w:tblGrid>
        <w:gridCol w:w="2608"/>
        <w:gridCol w:w="7030"/>
      </w:tblGrid>
      <w:tr>
        <w:tc>
          <w:tcPr>
            <w:tcW w:type="dxa" w:w="4706"/>
            <w:shd w:val="clear" w:color="auto" w:fill="D5E8F0"/>
          </w:tcPr>
          <w:p>
            <w:r>
              <w:rPr>
                <w:rFonts w:ascii="Arial" w:hAnsi="Arial"/>
                <w:b/>
                <w:i w:val="0"/>
                <w:sz w:val="19"/>
              </w:rPr>
              <w:t>Ítem</w:t>
            </w:r>
          </w:p>
        </w:tc>
        <w:tc>
          <w:tcPr>
            <w:tcW w:type="dxa" w:w="4706"/>
            <w:shd w:val="clear" w:color="auto" w:fill="D5E8F0"/>
          </w:tcPr>
          <w:p>
            <w:r>
              <w:rPr>
                <w:rFonts w:ascii="Arial" w:hAnsi="Arial"/>
                <w:b/>
                <w:i w:val="0"/>
                <w:sz w:val="19"/>
              </w:rPr>
              <w:t>Pregunta y orientación para la cumplimentación</w:t>
            </w:r>
          </w:p>
        </w:tc>
      </w:tr>
      <w:tr>
        <w:tc>
          <w:tcPr>
            <w:tcW w:type="dxa" w:w="2608"/>
          </w:tcPr>
          <w:p>
            <w:r>
              <w:rPr>
                <w:rFonts w:ascii="Arial" w:hAnsi="Arial"/>
                <w:b/>
                <w:i w:val="0"/>
                <w:sz w:val="19"/>
              </w:rPr>
              <w:t>P7.1</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p>
            <w:r>
              <w:rPr>
                <w:rFonts w:ascii="Arial" w:hAnsi="Arial"/>
                <w:b w:val="0"/>
                <w:i/>
                <w:color w:val="555555"/>
                <w:sz w:val="16"/>
              </w:rPr>
              <w:t>admite «No se aplica»</w:t>
            </w:r>
          </w:p>
        </w:tc>
        <w:tc>
          <w:tcPr>
            <w:tcW w:type="dxa" w:w="7030"/>
          </w:tcPr>
          <w:p>
            <w:r>
              <w:rPr>
                <w:rFonts w:ascii="Arial" w:hAnsi="Arial"/>
                <w:b/>
                <w:i w:val="0"/>
                <w:sz w:val="19"/>
              </w:rPr>
              <w:t>¿El protocolo fue sometido a consulta previa con la ANVISA sobre el encuadre del sistema como SaMD?</w:t>
            </w:r>
          </w:p>
          <w:p>
            <w:r>
              <w:rPr>
                <w:rFonts w:ascii="Arial" w:hAnsi="Arial"/>
                <w:b/>
                <w:i w:val="0"/>
                <w:sz w:val="18"/>
              </w:rPr>
              <w:t xml:space="preserve">Orientación. </w:t>
            </w:r>
            <w:r>
              <w:rPr>
                <w:rFonts w:ascii="Arial" w:hAnsi="Arial"/>
                <w:b w:val="0"/>
                <w:i w:val="0"/>
                <w:sz w:val="18"/>
              </w:rPr>
              <w:t>SaMD (Software as a Medical Device) es software con finalidad médica —diagnóstico, pronóstico, monitoreo u orientación terapéutica— regulado por la RDC ANVISA n.º 657/2022 (alineada al marco IMDRF). La consulta previa (de encuadre o de presentación previa) es el mecanismo formal por el cual la ANVISA se manifiesta sobre si el sistema es dispositivo médico y cuál es su clase de riesgo. Es especialmente importante cuando el sistema genera una salida que orienta o dirige una decisión clínica, está integrado a un equipo médico, procesa imágenes/señales con IA para generar una recomendación, o usa IA generativa en contexto clínico. Marque «No se aplica» SOLO si el sistema comprobadamente no tiene pretensión diagnóstica, pronóstica, terapéutica ni de orientación clínica (p. ej.: análisis secundario retrospectivo sin retorno a la persona participante, gestión administrativa de investigación, preprocesamiento de datos sin salida interpretativa). Cualquier duda razonable de encuadre → la consulta debe realizarse.</w:t>
            </w:r>
          </w:p>
        </w:tc>
      </w:tr>
      <w:tr>
        <w:tc>
          <w:tcPr>
            <w:tcW w:type="dxa" w:w="2608"/>
          </w:tcPr>
          <w:p>
            <w:r>
              <w:rPr>
                <w:rFonts w:ascii="Arial" w:hAnsi="Arial"/>
                <w:b/>
                <w:i w:val="0"/>
                <w:sz w:val="19"/>
              </w:rPr>
              <w:t>P7.2</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tc>
        <w:tc>
          <w:tcPr>
            <w:tcW w:type="dxa" w:w="7030"/>
          </w:tcPr>
          <w:p>
            <w:r>
              <w:rPr>
                <w:rFonts w:ascii="Arial" w:hAnsi="Arial"/>
                <w:b/>
                <w:i w:val="0"/>
                <w:sz w:val="19"/>
              </w:rPr>
              <w:t>¿El protocolo prevé la colaboración con el fabricante o desarrollador del sistema para el esclarecimiento de dudas técnicas durante el estudio?</w:t>
            </w:r>
          </w:p>
          <w:p>
            <w:r>
              <w:rPr>
                <w:rFonts w:ascii="Arial" w:hAnsi="Arial"/>
                <w:b/>
                <w:i w:val="0"/>
                <w:sz w:val="18"/>
              </w:rPr>
              <w:t xml:space="preserve">Orientación. </w:t>
            </w:r>
            <w:r>
              <w:rPr>
                <w:rFonts w:ascii="Arial" w:hAnsi="Arial"/>
                <w:b w:val="0"/>
                <w:i w:val="0"/>
                <w:sz w:val="18"/>
              </w:rPr>
              <w:t>La colaboración con el fabricante/desarrollador durante el estudio da acceso a información técnica relevante para aclarar dudas y tratar fallas —reduce la dependencia de una caja negra sin soporte.</w:t>
            </w:r>
          </w:p>
        </w:tc>
      </w:tr>
      <w:tr>
        <w:tc>
          <w:tcPr>
            <w:tcW w:type="dxa" w:w="2608"/>
          </w:tcPr>
          <w:p>
            <w:r>
              <w:rPr>
                <w:rFonts w:ascii="Arial" w:hAnsi="Arial"/>
                <w:b/>
                <w:i w:val="0"/>
                <w:sz w:val="19"/>
              </w:rPr>
              <w:t>P7.3</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-10 pts</w:t>
            </w:r>
          </w:p>
          <w:p>
            <w:r>
              <w:rPr>
                <w:rFonts w:ascii="Arial" w:hAnsi="Arial"/>
                <w:b w:val="0"/>
                <w:i/>
                <w:color w:val="555555"/>
                <w:sz w:val="16"/>
              </w:rPr>
              <w:t>Mitigación (resta)</w:t>
            </w:r>
          </w:p>
        </w:tc>
        <w:tc>
          <w:tcPr>
            <w:tcW w:type="dxa" w:w="7030"/>
          </w:tcPr>
          <w:p>
            <w:r>
              <w:rPr>
                <w:rFonts w:ascii="Arial" w:hAnsi="Arial"/>
                <w:b/>
                <w:i w:val="0"/>
                <w:sz w:val="19"/>
              </w:rPr>
              <w:t>¿El protocolo garantiza que un investigador habilitado revise toda decisión generada por el sistema antes de su ejecución?</w:t>
            </w:r>
          </w:p>
          <w:p>
            <w:r>
              <w:rPr>
                <w:rFonts w:ascii="Arial" w:hAnsi="Arial"/>
                <w:b/>
                <w:i w:val="0"/>
                <w:sz w:val="18"/>
              </w:rPr>
              <w:t xml:space="preserve">Orientación. </w:t>
            </w:r>
            <w:r>
              <w:rPr>
                <w:rFonts w:ascii="Arial" w:hAnsi="Arial"/>
                <w:b w:val="0"/>
                <w:i w:val="0"/>
                <w:sz w:val="18"/>
              </w:rPr>
              <w:t>La revisión humana obligatoria antes de la ejecución es la mitigación más eficaz: reintroduce la barrera de seguridad entre la recomendación y la acción. Ítem de mitigación (Bloque 7, bidireccional): «Sí» resta puntos; «No» los mantiene —el bloque tiene piso de cero.</w:t>
            </w:r>
          </w:p>
        </w:tc>
      </w:tr>
      <w:tr>
        <w:tc>
          <w:tcPr>
            <w:tcW w:type="dxa" w:w="2608"/>
          </w:tcPr>
          <w:p>
            <w:r>
              <w:rPr>
                <w:rFonts w:ascii="Arial" w:hAnsi="Arial"/>
                <w:b/>
                <w:i w:val="0"/>
                <w:sz w:val="19"/>
              </w:rPr>
              <w:t>P7.4</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-8 pts</w:t>
            </w:r>
          </w:p>
          <w:p>
            <w:r>
              <w:rPr>
                <w:rFonts w:ascii="Arial" w:hAnsi="Arial"/>
                <w:b w:val="0"/>
                <w:i/>
                <w:color w:val="555555"/>
                <w:sz w:val="16"/>
              </w:rPr>
              <w:t>Mitigación (resta)</w:t>
            </w:r>
          </w:p>
        </w:tc>
        <w:tc>
          <w:tcPr>
            <w:tcW w:type="dxa" w:w="7030"/>
          </w:tcPr>
          <w:p>
            <w:r>
              <w:rPr>
                <w:rFonts w:ascii="Arial" w:hAnsi="Arial"/>
                <w:b/>
                <w:i w:val="0"/>
                <w:sz w:val="19"/>
              </w:rPr>
              <w:t>¿El sistema proporciona, junto a cada resultado, una explicación comprensible sobre los factores que influyeron en ese resultado?</w:t>
            </w:r>
          </w:p>
          <w:p>
            <w:r>
              <w:rPr>
                <w:rFonts w:ascii="Arial" w:hAnsi="Arial"/>
                <w:b/>
                <w:i w:val="0"/>
                <w:sz w:val="18"/>
              </w:rPr>
              <w:t xml:space="preserve">Orientación. </w:t>
            </w:r>
            <w:r>
              <w:rPr>
                <w:rFonts w:ascii="Arial" w:hAnsi="Arial"/>
                <w:b w:val="0"/>
                <w:i w:val="0"/>
                <w:sz w:val="18"/>
              </w:rPr>
              <w:t>La explicación comprensible de cada resultado permite una supervisión humana real, no solo formal. Ítem de mitigación (Bloque 7, bidireccional): «Sí» resta puntos; «No» los mantiene —el bloque tiene piso de cero.</w:t>
            </w:r>
          </w:p>
        </w:tc>
      </w:tr>
      <w:tr>
        <w:tc>
          <w:tcPr>
            <w:tcW w:type="dxa" w:w="2608"/>
          </w:tcPr>
          <w:p>
            <w:r>
              <w:rPr>
                <w:rFonts w:ascii="Arial" w:hAnsi="Arial"/>
                <w:b/>
                <w:i w:val="0"/>
                <w:sz w:val="19"/>
              </w:rPr>
              <w:t>P7.5</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-10 pts</w:t>
            </w:r>
          </w:p>
          <w:p>
            <w:r>
              <w:rPr>
                <w:rFonts w:ascii="Arial" w:hAnsi="Arial"/>
                <w:b w:val="0"/>
                <w:i/>
                <w:color w:val="555555"/>
                <w:sz w:val="16"/>
              </w:rPr>
              <w:t>Mitigación (resta)</w:t>
            </w:r>
          </w:p>
        </w:tc>
        <w:tc>
          <w:tcPr>
            <w:tcW w:type="dxa" w:w="7030"/>
          </w:tcPr>
          <w:p>
            <w:r>
              <w:rPr>
                <w:rFonts w:ascii="Arial" w:hAnsi="Arial"/>
                <w:b/>
                <w:i w:val="0"/>
                <w:sz w:val="19"/>
              </w:rPr>
              <w:t>¿El protocolo prevé un monitoreo continuo del desempeño del sistema tras el inicio del uso, con criterios definidos para su interrupción?</w:t>
            </w:r>
          </w:p>
          <w:p>
            <w:r>
              <w:rPr>
                <w:rFonts w:ascii="Arial" w:hAnsi="Arial"/>
                <w:b/>
                <w:i w:val="0"/>
                <w:sz w:val="18"/>
              </w:rPr>
              <w:t xml:space="preserve">Orientación. </w:t>
            </w:r>
            <w:r>
              <w:rPr>
                <w:rFonts w:ascii="Arial" w:hAnsi="Arial"/>
                <w:b w:val="0"/>
                <w:i w:val="0"/>
                <w:sz w:val="18"/>
              </w:rPr>
              <w:t>El monitoreo continuo con criterios definidos de interrupción permite detectar y contener la pérdida de desempeño durante el uso. Ítem de mitigación (Bloque 7, bidireccional): «Sí» resta puntos; «No» los mantiene —el bloque tiene piso de cero. Nota: el plan debe nombrar el mínimo esperado —métrica(s) de desempeño (incluyendo, cuando corresponda, estratificadas por subgrupo, ver 4.3/P3.6), umbral de alerta, periodicidad de medición y responsable— y prever una respuesta proporcional graduada al deterioro (alerta → restricción de uso → suspensión), con escalamiento documentado.</w:t>
            </w:r>
          </w:p>
        </w:tc>
      </w:tr>
      <w:tr>
        <w:tc>
          <w:tcPr>
            <w:tcW w:type="dxa" w:w="2608"/>
          </w:tcPr>
          <w:p>
            <w:r>
              <w:rPr>
                <w:rFonts w:ascii="Arial" w:hAnsi="Arial"/>
                <w:b/>
                <w:i w:val="0"/>
                <w:sz w:val="19"/>
              </w:rPr>
              <w:t>P7.6</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-8 pts</w:t>
            </w:r>
          </w:p>
          <w:p>
            <w:r>
              <w:rPr>
                <w:rFonts w:ascii="Arial" w:hAnsi="Arial"/>
                <w:b w:val="0"/>
                <w:i/>
                <w:color w:val="555555"/>
                <w:sz w:val="16"/>
              </w:rPr>
              <w:t>Mitigación (resta)</w:t>
            </w:r>
          </w:p>
        </w:tc>
        <w:tc>
          <w:tcPr>
            <w:tcW w:type="dxa" w:w="7030"/>
          </w:tcPr>
          <w:p>
            <w:r>
              <w:rPr>
                <w:rFonts w:ascii="Arial" w:hAnsi="Arial"/>
                <w:b/>
                <w:i w:val="0"/>
                <w:sz w:val="19"/>
              </w:rPr>
              <w:t>¿Existe un procedimiento documentado para fallas, indisponibilidad o resultado inconsistente del sistema durante el estudio?</w:t>
            </w:r>
          </w:p>
          <w:p>
            <w:r>
              <w:rPr>
                <w:rFonts w:ascii="Arial" w:hAnsi="Arial"/>
                <w:b/>
                <w:i w:val="0"/>
                <w:sz w:val="18"/>
              </w:rPr>
              <w:t xml:space="preserve">Orientación. </w:t>
            </w:r>
            <w:r>
              <w:rPr>
                <w:rFonts w:ascii="Arial" w:hAnsi="Arial"/>
                <w:b w:val="0"/>
                <w:i w:val="0"/>
                <w:sz w:val="18"/>
              </w:rPr>
              <w:t>Un procedimiento documentado para falla, indisponibilidad o resultado inconsistente garantiza una respuesta segura cuando el sistema falla. Ítem de mitigación (Bloque 7, bidireccional): «Sí» resta puntos; «No» los mantiene —el bloque tiene piso de cero.</w:t>
            </w:r>
          </w:p>
        </w:tc>
      </w:tr>
      <w:tr>
        <w:tc>
          <w:tcPr>
            <w:tcW w:type="dxa" w:w="2608"/>
          </w:tcPr>
          <w:p>
            <w:r>
              <w:rPr>
                <w:rFonts w:ascii="Arial" w:hAnsi="Arial"/>
                <w:b/>
                <w:i w:val="0"/>
                <w:sz w:val="19"/>
              </w:rPr>
              <w:t>P7.7</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-8 pts</w:t>
            </w:r>
          </w:p>
          <w:p>
            <w:r>
              <w:rPr>
                <w:rFonts w:ascii="Arial" w:hAnsi="Arial"/>
                <w:b w:val="0"/>
                <w:i/>
                <w:color w:val="555555"/>
                <w:sz w:val="16"/>
              </w:rPr>
              <w:t>Mitigación (resta)</w:t>
            </w:r>
          </w:p>
        </w:tc>
        <w:tc>
          <w:tcPr>
            <w:tcW w:type="dxa" w:w="7030"/>
          </w:tcPr>
          <w:p>
            <w:r>
              <w:rPr>
                <w:rFonts w:ascii="Arial" w:hAnsi="Arial"/>
                <w:b/>
                <w:i w:val="0"/>
                <w:sz w:val="19"/>
              </w:rPr>
              <w:t>¿El protocolo prevé cómo y cuándo será reentrenado el modelo, y quién autoriza esa actualización?</w:t>
            </w:r>
          </w:p>
          <w:p>
            <w:r>
              <w:rPr>
                <w:rFonts w:ascii="Arial" w:hAnsi="Arial"/>
                <w:b/>
                <w:i w:val="0"/>
                <w:sz w:val="18"/>
              </w:rPr>
              <w:t xml:space="preserve">Orientación. </w:t>
            </w:r>
            <w:r>
              <w:rPr>
                <w:rFonts w:ascii="Arial" w:hAnsi="Arial"/>
                <w:b w:val="0"/>
                <w:i w:val="0"/>
                <w:sz w:val="18"/>
              </w:rPr>
              <w:t>Definir cómo, cuándo y quién autoriza el reentrenamiento evita cambios impredecibles en el comportamiento del sistema. Ítem de mitigación (Bloque 7, bidireccional): «Sí» resta puntos; «No» los mantiene —el bloque tiene piso de cero. Nota: se acepta como evidencia un plan de gestión de cambios preaprobado que evalúe el impacto de actualizaciones, recalibraciones o sustituciones sobre las personas participantes, los resultados y los riesgos éticos, y que defina un criterio para distinguir una alteración menor de un cambio que exige comunicación o enmienda ética al CEP (umbrales predeterminados) —sin perjuicio del plan de nuevo consentimiento (2.10/P2.8), que permanece eliminatorio.</w:t>
            </w:r>
          </w:p>
        </w:tc>
      </w:tr>
      <w:tr>
        <w:tc>
          <w:tcPr>
            <w:tcW w:type="dxa" w:w="2608"/>
          </w:tcPr>
          <w:p>
            <w:r>
              <w:rPr>
                <w:rFonts w:ascii="Arial" w:hAnsi="Arial"/>
                <w:b/>
                <w:i w:val="0"/>
                <w:sz w:val="19"/>
              </w:rPr>
              <w:t>P7.8</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-7 pts</w:t>
            </w:r>
          </w:p>
          <w:p>
            <w:r>
              <w:rPr>
                <w:rFonts w:ascii="Arial" w:hAnsi="Arial"/>
                <w:b w:val="0"/>
                <w:i/>
                <w:color w:val="555555"/>
                <w:sz w:val="16"/>
              </w:rPr>
              <w:t>Mitigación (resta)</w:t>
            </w:r>
          </w:p>
        </w:tc>
        <w:tc>
          <w:tcPr>
            <w:tcW w:type="dxa" w:w="7030"/>
          </w:tcPr>
          <w:p>
            <w:r>
              <w:rPr>
                <w:rFonts w:ascii="Arial" w:hAnsi="Arial"/>
                <w:b/>
                <w:i w:val="0"/>
                <w:sz w:val="19"/>
              </w:rPr>
              <w:t>¿El equipo responsable tiene competencia técnica suficiente para interpretar los resultados del sistema e identificar fallas?</w:t>
            </w:r>
          </w:p>
          <w:p>
            <w:r>
              <w:rPr>
                <w:rFonts w:ascii="Arial" w:hAnsi="Arial"/>
                <w:b/>
                <w:i w:val="0"/>
                <w:sz w:val="18"/>
              </w:rPr>
              <w:t xml:space="preserve">Orientación. </w:t>
            </w:r>
            <w:r>
              <w:rPr>
                <w:rFonts w:ascii="Arial" w:hAnsi="Arial"/>
                <w:b w:val="0"/>
                <w:i w:val="0"/>
                <w:sz w:val="18"/>
              </w:rPr>
              <w:t>Un equipo con competencia técnica para interpretar resultados e identificar fallas hace efectiva la supervisión. Ítem de mitigación (Bloque 7, bidireccional): «Sí» resta puntos; «No» los mantiene —el bloque tiene piso de cero.</w:t>
            </w:r>
          </w:p>
        </w:tc>
      </w:tr>
      <w:tr>
        <w:tc>
          <w:tcPr>
            <w:tcW w:type="dxa" w:w="2608"/>
          </w:tcPr>
          <w:p>
            <w:r>
              <w:rPr>
                <w:rFonts w:ascii="Arial" w:hAnsi="Arial"/>
                <w:b/>
                <w:i w:val="0"/>
                <w:sz w:val="19"/>
              </w:rPr>
              <w:t>P7.9</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-7 pts</w:t>
            </w:r>
          </w:p>
          <w:p>
            <w:r>
              <w:rPr>
                <w:rFonts w:ascii="Arial" w:hAnsi="Arial"/>
                <w:b w:val="0"/>
                <w:i/>
                <w:color w:val="555555"/>
                <w:sz w:val="16"/>
              </w:rPr>
              <w:t>Mitigación (resta)</w:t>
            </w:r>
          </w:p>
        </w:tc>
        <w:tc>
          <w:tcPr>
            <w:tcW w:type="dxa" w:w="7030"/>
          </w:tcPr>
          <w:p>
            <w:r>
              <w:rPr>
                <w:rFonts w:ascii="Arial" w:hAnsi="Arial"/>
                <w:b/>
                <w:i w:val="0"/>
                <w:sz w:val="19"/>
              </w:rPr>
              <w:t>¿El protocolo prevé el monitoreo de deriva de datos (data drift), es decir, la degradación del desempeño a lo largo del tiempo?</w:t>
            </w:r>
          </w:p>
          <w:p>
            <w:r>
              <w:rPr>
                <w:rFonts w:ascii="Arial" w:hAnsi="Arial"/>
                <w:b/>
                <w:i w:val="0"/>
                <w:sz w:val="18"/>
              </w:rPr>
              <w:t xml:space="preserve">Orientación. </w:t>
            </w:r>
            <w:r>
              <w:rPr>
                <w:rFonts w:ascii="Arial" w:hAnsi="Arial"/>
                <w:b w:val="0"/>
                <w:i w:val="0"/>
                <w:sz w:val="18"/>
              </w:rPr>
              <w:t>Monitorear la deriva de datos (data drift) previene la degradación silenciosa del desempeño a lo largo del tiempo. Ítem de mitigación (Bloque 7, bidireccional): «Sí» resta puntos; «No» los mantiene —el bloque tiene piso de cero.</w:t>
            </w:r>
          </w:p>
        </w:tc>
      </w:tr>
      <w:tr>
        <w:tc>
          <w:tcPr>
            <w:tcW w:type="dxa" w:w="2608"/>
          </w:tcPr>
          <w:p>
            <w:r>
              <w:rPr>
                <w:rFonts w:ascii="Arial" w:hAnsi="Arial"/>
                <w:b/>
                <w:i w:val="0"/>
                <w:sz w:val="19"/>
              </w:rPr>
              <w:t>P7.10</w:t>
            </w:r>
          </w:p>
          <w:p>
            <w:r>
              <w:rPr>
                <w:rFonts w:ascii="Arial" w:hAnsi="Arial"/>
                <w:b w:val="0"/>
                <w:i w:val="0"/>
                <w:sz w:val="17"/>
              </w:rPr>
              <w:t xml:space="preserve">Respuesta de riesgo: </w:t>
            </w:r>
            <w:r>
              <w:rPr>
                <w:rFonts w:ascii="Arial" w:hAnsi="Arial"/>
                <w:b/>
                <w:i w:val="0"/>
                <w:sz w:val="17"/>
              </w:rPr>
              <w:t>Sí</w:t>
            </w:r>
          </w:p>
          <w:p>
            <w:r>
              <w:rPr>
                <w:rFonts w:ascii="Arial" w:hAnsi="Arial"/>
                <w:b w:val="0"/>
                <w:i w:val="0"/>
                <w:sz w:val="17"/>
              </w:rPr>
              <w:t xml:space="preserve">Peso: </w:t>
            </w:r>
            <w:r>
              <w:rPr>
                <w:rFonts w:ascii="Arial" w:hAnsi="Arial"/>
                <w:b/>
                <w:i w:val="0"/>
                <w:sz w:val="17"/>
              </w:rPr>
              <w:t>-7 pts</w:t>
            </w:r>
          </w:p>
          <w:p>
            <w:r>
              <w:rPr>
                <w:rFonts w:ascii="Arial" w:hAnsi="Arial"/>
                <w:b w:val="0"/>
                <w:i/>
                <w:color w:val="555555"/>
                <w:sz w:val="16"/>
              </w:rPr>
              <w:t>Mitigación (resta)</w:t>
            </w:r>
          </w:p>
        </w:tc>
        <w:tc>
          <w:tcPr>
            <w:tcW w:type="dxa" w:w="7030"/>
          </w:tcPr>
          <w:p>
            <w:r>
              <w:rPr>
                <w:rFonts w:ascii="Arial" w:hAnsi="Arial"/>
                <w:b/>
                <w:i w:val="0"/>
                <w:sz w:val="19"/>
              </w:rPr>
              <w:t>¿El protocolo describe una responsabilidad humana clara e identificada en caso de error o daño derivado del sistema?</w:t>
            </w:r>
          </w:p>
          <w:p>
            <w:r>
              <w:rPr>
                <w:rFonts w:ascii="Arial" w:hAnsi="Arial"/>
                <w:b/>
                <w:i w:val="0"/>
                <w:sz w:val="18"/>
              </w:rPr>
              <w:t xml:space="preserve">Orientación. </w:t>
            </w:r>
            <w:r>
              <w:rPr>
                <w:rFonts w:ascii="Arial" w:hAnsi="Arial"/>
                <w:b w:val="0"/>
                <w:i w:val="0"/>
                <w:sz w:val="18"/>
              </w:rPr>
              <w:t>Una responsabilidad humana clara e identificada en caso de error o daño protege a la persona participante y evita una zona gris de imputación. Ítem de mitigación (Bloque 7, bidireccional): «Sí» resta puntos; «No» los mantiene —el bloque tiene piso de cero.</w:t>
            </w:r>
          </w:p>
        </w:tc>
      </w:tr>
      <w:tr>
        <w:tc>
          <w:tcPr>
            <w:tcW w:type="dxa" w:w="2608"/>
          </w:tcPr>
          <w:p>
            <w:r>
              <w:rPr>
                <w:rFonts w:ascii="Arial" w:hAnsi="Arial"/>
                <w:b/>
                <w:i w:val="0"/>
                <w:sz w:val="19"/>
              </w:rPr>
              <w:t>P7.11</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p>
            <w:r>
              <w:rPr>
                <w:rFonts w:ascii="Arial" w:hAnsi="Arial"/>
                <w:b w:val="0"/>
                <w:i/>
                <w:color w:val="555555"/>
                <w:sz w:val="16"/>
              </w:rPr>
              <w:t>Evidencia (solo descuenta)</w:t>
            </w:r>
          </w:p>
        </w:tc>
        <w:tc>
          <w:tcPr>
            <w:tcW w:type="dxa" w:w="7030"/>
          </w:tcPr>
          <w:p>
            <w:r>
              <w:rPr>
                <w:rFonts w:ascii="Arial" w:hAnsi="Arial"/>
                <w:b/>
                <w:i w:val="0"/>
                <w:sz w:val="19"/>
              </w:rPr>
              <w:t>¿El protocolo presenta documentación estandarizada del modelo (por ejemplo, Model Card)?</w:t>
            </w:r>
          </w:p>
          <w:p>
            <w:r>
              <w:rPr>
                <w:rFonts w:ascii="Arial" w:hAnsi="Arial"/>
                <w:b/>
                <w:i w:val="0"/>
                <w:sz w:val="18"/>
              </w:rPr>
              <w:t xml:space="preserve">Orientación. </w:t>
            </w:r>
            <w:r>
              <w:rPr>
                <w:rFonts w:ascii="Arial" w:hAnsi="Arial"/>
                <w:b w:val="0"/>
                <w:i w:val="0"/>
                <w:sz w:val="18"/>
              </w:rPr>
              <w:t>Model Card o documento equivalente con finalidad, métricas, limitaciones y contextos de uso.</w:t>
            </w:r>
          </w:p>
        </w:tc>
      </w:tr>
      <w:tr>
        <w:tc>
          <w:tcPr>
            <w:tcW w:type="dxa" w:w="2608"/>
          </w:tcPr>
          <w:p>
            <w:r>
              <w:rPr>
                <w:rFonts w:ascii="Arial" w:hAnsi="Arial"/>
                <w:b/>
                <w:i w:val="0"/>
                <w:sz w:val="19"/>
              </w:rPr>
              <w:t>P7.12</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p>
            <w:r>
              <w:rPr>
                <w:rFonts w:ascii="Arial" w:hAnsi="Arial"/>
                <w:b w:val="0"/>
                <w:i/>
                <w:color w:val="555555"/>
                <w:sz w:val="16"/>
              </w:rPr>
              <w:t>Evidencia (solo descuenta)</w:t>
            </w:r>
          </w:p>
        </w:tc>
        <w:tc>
          <w:tcPr>
            <w:tcW w:type="dxa" w:w="7030"/>
          </w:tcPr>
          <w:p>
            <w:r>
              <w:rPr>
                <w:rFonts w:ascii="Arial" w:hAnsi="Arial"/>
                <w:b/>
                <w:i w:val="0"/>
                <w:sz w:val="19"/>
              </w:rPr>
              <w:t>¿El protocolo presenta documentación estandarizada de la base de datos (por ejemplo, Datasheet for Datasets)?</w:t>
            </w:r>
          </w:p>
          <w:p>
            <w:r>
              <w:rPr>
                <w:rFonts w:ascii="Arial" w:hAnsi="Arial"/>
                <w:b/>
                <w:i w:val="0"/>
                <w:sz w:val="18"/>
              </w:rPr>
              <w:t xml:space="preserve">Orientación. </w:t>
            </w:r>
            <w:r>
              <w:rPr>
                <w:rFonts w:ascii="Arial" w:hAnsi="Arial"/>
                <w:b w:val="0"/>
                <w:i w:val="0"/>
                <w:sz w:val="18"/>
              </w:rPr>
              <w:t>Datasheet o equivalente con origen, composición, recolección, preprocesamiento y usos recomendados.</w:t>
            </w:r>
          </w:p>
        </w:tc>
      </w:tr>
      <w:tr>
        <w:tc>
          <w:tcPr>
            <w:tcW w:type="dxa" w:w="2608"/>
          </w:tcPr>
          <w:p>
            <w:r>
              <w:rPr>
                <w:rFonts w:ascii="Arial" w:hAnsi="Arial"/>
                <w:b/>
                <w:i w:val="0"/>
                <w:sz w:val="19"/>
              </w:rPr>
              <w:t>P7.13</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-8 pts</w:t>
            </w:r>
          </w:p>
          <w:p>
            <w:r>
              <w:rPr>
                <w:rFonts w:ascii="Arial" w:hAnsi="Arial"/>
                <w:b w:val="0"/>
                <w:i/>
                <w:color w:val="555555"/>
                <w:sz w:val="16"/>
              </w:rPr>
              <w:t>Evidencia (solo descuenta)</w:t>
            </w:r>
          </w:p>
        </w:tc>
        <w:tc>
          <w:tcPr>
            <w:tcW w:type="dxa" w:w="7030"/>
          </w:tcPr>
          <w:p>
            <w:r>
              <w:rPr>
                <w:rFonts w:ascii="Arial" w:hAnsi="Arial"/>
                <w:b/>
                <w:i w:val="0"/>
                <w:sz w:val="19"/>
              </w:rPr>
              <w:t>¿Se realizó una evaluación de impacto algorítmico o un Informe de Impacto a la Protección de Datos Personales (RIPD) para el uso previsto en este protocolo?</w:t>
            </w:r>
          </w:p>
          <w:p>
            <w:r>
              <w:rPr>
                <w:rFonts w:ascii="Arial" w:hAnsi="Arial"/>
                <w:b/>
                <w:i w:val="0"/>
                <w:sz w:val="18"/>
              </w:rPr>
              <w:t xml:space="preserve">Orientación. </w:t>
            </w:r>
            <w:r>
              <w:rPr>
                <w:rFonts w:ascii="Arial" w:hAnsi="Arial"/>
                <w:b w:val="0"/>
                <w:i w:val="0"/>
                <w:sz w:val="18"/>
              </w:rPr>
              <w:t>El RIPD del controlador o una evaluación de impacto algorítmico documentada valen como evidencia; el peso mayor (−8) refleja la amplitud de la evidencia.</w:t>
            </w:r>
          </w:p>
        </w:tc>
      </w:tr>
      <w:tr>
        <w:tc>
          <w:tcPr>
            <w:tcW w:type="dxa" w:w="2608"/>
          </w:tcPr>
          <w:p>
            <w:r>
              <w:rPr>
                <w:rFonts w:ascii="Arial" w:hAnsi="Arial"/>
                <w:b/>
                <w:i w:val="0"/>
                <w:sz w:val="19"/>
              </w:rPr>
              <w:t>P7.14</w:t>
            </w:r>
          </w:p>
          <w:p>
            <w:r>
              <w:rPr>
                <w:rFonts w:ascii="Arial" w:hAnsi="Arial"/>
                <w:b w:val="0"/>
                <w:i w:val="0"/>
                <w:sz w:val="17"/>
              </w:rPr>
              <w:t xml:space="preserve">Respuesta de riesgo: </w:t>
            </w:r>
            <w:r>
              <w:rPr>
                <w:rFonts w:ascii="Arial" w:hAnsi="Arial"/>
                <w:b/>
                <w:i w:val="0"/>
                <w:sz w:val="17"/>
              </w:rPr>
              <w:t>No</w:t>
            </w:r>
          </w:p>
          <w:p>
            <w:r>
              <w:rPr>
                <w:rFonts w:ascii="Arial" w:hAnsi="Arial"/>
                <w:b w:val="0"/>
                <w:i w:val="0"/>
                <w:sz w:val="17"/>
              </w:rPr>
              <w:t xml:space="preserve">Peso: </w:t>
            </w:r>
            <w:r>
              <w:rPr>
                <w:rFonts w:ascii="Arial" w:hAnsi="Arial"/>
                <w:b/>
                <w:i w:val="0"/>
                <w:sz w:val="17"/>
              </w:rPr>
              <w:t>-5 pts</w:t>
            </w:r>
          </w:p>
          <w:p>
            <w:r>
              <w:rPr>
                <w:rFonts w:ascii="Arial" w:hAnsi="Arial"/>
                <w:b w:val="0"/>
                <w:i/>
                <w:color w:val="555555"/>
                <w:sz w:val="16"/>
              </w:rPr>
              <w:t>Evidencia (solo descuenta)</w:t>
            </w:r>
          </w:p>
        </w:tc>
        <w:tc>
          <w:tcPr>
            <w:tcW w:type="dxa" w:w="7030"/>
          </w:tcPr>
          <w:p>
            <w:r>
              <w:rPr>
                <w:rFonts w:ascii="Arial" w:hAnsi="Arial"/>
                <w:b/>
                <w:i w:val="0"/>
                <w:sz w:val="19"/>
              </w:rPr>
              <w:t>¿El código fuente del sistema será puesto a disposición abiertamente o bajo una licencia que permita la auditoría independiente?</w:t>
            </w:r>
          </w:p>
          <w:p>
            <w:r>
              <w:rPr>
                <w:rFonts w:ascii="Arial" w:hAnsi="Arial"/>
                <w:b/>
                <w:i w:val="0"/>
                <w:sz w:val="18"/>
              </w:rPr>
              <w:t xml:space="preserve">Orientación. </w:t>
            </w:r>
            <w:r>
              <w:rPr>
                <w:rFonts w:ascii="Arial" w:hAnsi="Arial"/>
                <w:b w:val="0"/>
                <w:i w:val="0"/>
                <w:sz w:val="18"/>
              </w:rPr>
              <w:t>Licencias de código abierto o de auditoría (incluido el Software Público) valen; el código cerrado con auditoría independiente contratada también puede ser considerado por el CEP.</w:t>
            </w:r>
          </w:p>
        </w:tc>
      </w:tr>
    </w:tbl>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