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0" w:line="276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PicSaúde — Tese Arquitetural · v0</w:t>
      </w:r>
    </w:p>
    <w:p>
      <w:pPr>
        <w:pStyle w:val="Heading2"/>
        <w:spacing w:after="80" w:before="200" w:line="276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Motivação</w:t>
      </w:r>
    </w:p>
    <w:p>
      <w:pPr>
        <w:spacing w:after="60" w:before="60" w:line="276"/>
      </w:pPr>
      <w:r>
        <w:rPr>
          <w:rFonts w:ascii="Arial" w:cs="Arial" w:eastAsia="Arial" w:hAnsi="Arial"/>
          <w:sz w:val="20"/>
          <w:szCs w:val="20"/>
        </w:rPr>
        <w:t xml:space="preserve">O PicSaúde foi concebido para eliminar 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atrito na experiência de cuidado</w:t>
      </w:r>
      <w:r>
        <w:rPr>
          <w:rFonts w:ascii="Arial" w:cs="Arial" w:eastAsia="Arial" w:hAnsi="Arial"/>
          <w:sz w:val="20"/>
          <w:szCs w:val="20"/>
        </w:rPr>
        <w:t xml:space="preserve">. Atrito irrita pacientes, consome tempo de profissionais e desperdiça recursos materiais e financeiros. O diagnóstico é incômodo: o problema não está na interface, no aplicativo ou na usabilidade. Está na arquitetura — os objetos clínicos circulam sem estado explícito, com representações divergentes em cada sistema, por canais humanos não rastreáveis.</w:t>
      </w:r>
    </w:p>
    <w:p>
      <w:pPr>
        <w:pStyle w:val="Heading2"/>
        <w:spacing w:after="80" w:before="200" w:line="276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PicSaúde em uma frase</w:t>
      </w:r>
    </w:p>
    <w:p>
      <w:pPr>
        <w:spacing w:after="60" w:before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Uma máquina de estados de normalização e circulação de objetos sanitários.</w:t>
      </w:r>
    </w:p>
    <w:p>
      <w:pPr>
        <w:spacing w:after="60" w:before="60" w:line="276"/>
      </w:pPr>
      <w:r>
        <w:rPr>
          <w:rFonts w:ascii="Arial" w:cs="Arial" w:eastAsia="Arial" w:hAnsi="Arial"/>
          <w:sz w:val="20"/>
          <w:szCs w:val="20"/>
        </w:rPr>
        <w:t xml:space="preserve">A experiência de cuidado é, no fundo, o ciclo de vida de objetos discretos — consultas, exames, prescrições, encaminhamentos, laudos, autorizações, coberturas. Hoje, a dispensação de fármaco passa por papel e balcão; a formalização de exame atravessa sistemas de gestão incompatíveis; o agendamento se faz por telefone ou WhatsApp.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PicSaúde leva à circulação desses objetos a mesma lógica que o Pix levou à transferência de dinheiro</w:t>
      </w:r>
      <w:r>
        <w:rPr>
          <w:rFonts w:ascii="Arial" w:cs="Arial" w:eastAsia="Arial" w:hAnsi="Arial"/>
          <w:sz w:val="20"/>
          <w:szCs w:val="20"/>
        </w:rPr>
        <w:t xml:space="preserve"> — identidade universal, transação atômica, rastreabilidade nativa e padronização pública.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color="C7D2DD" w:sz="4"/>
              <w:left w:val="single" w:color="C7D2DD" w:sz="4"/>
              <w:bottom w:val="single" w:color="C7D2DD" w:sz="4"/>
              <w:right w:val="single" w:color="C7D2DD" w:sz="4"/>
            </w:tcBorders>
            <w:shd w:fill="EEF3F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Prescritor</w:t>
            </w:r>
          </w:p>
        </w:tc>
        <w:tc>
          <w:tcPr>
            <w:tcW w:type="dxa" w:w="2409"/>
            <w:tcBorders>
              <w:top w:val="single" w:color="C7D2DD" w:sz="4"/>
              <w:left w:val="single" w:color="C7D2DD" w:sz="4"/>
              <w:bottom w:val="single" w:color="C7D2DD" w:sz="4"/>
              <w:right w:val="single" w:color="C7D2DD" w:sz="4"/>
            </w:tcBorders>
            <w:shd w:fill="EEF3F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Paciente</w:t>
            </w:r>
          </w:p>
        </w:tc>
        <w:tc>
          <w:tcPr>
            <w:tcW w:type="dxa" w:w="2409"/>
            <w:tcBorders>
              <w:top w:val="single" w:color="C7D2DD" w:sz="4"/>
              <w:left w:val="single" w:color="C7D2DD" w:sz="4"/>
              <w:bottom w:val="single" w:color="C7D2DD" w:sz="4"/>
              <w:right w:val="single" w:color="C7D2DD" w:sz="4"/>
            </w:tcBorders>
            <w:shd w:fill="EEF3F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Farmácia</w:t>
            </w:r>
          </w:p>
        </w:tc>
        <w:tc>
          <w:tcPr>
            <w:tcW w:type="dxa" w:w="2409"/>
            <w:tcBorders>
              <w:top w:val="single" w:color="C7D2DD" w:sz="4"/>
              <w:left w:val="single" w:color="C7D2DD" w:sz="4"/>
              <w:bottom w:val="single" w:color="C7D2DD" w:sz="4"/>
              <w:right w:val="single" w:color="C7D2DD" w:sz="4"/>
            </w:tcBorders>
            <w:shd w:fill="EEF3F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Operadora</w:t>
            </w:r>
          </w:p>
        </w:tc>
      </w:tr>
    </w:tbl>
    <w:p>
      <w:pPr>
        <w:spacing w:after="200" w:before="80" w:line="240"/>
        <w:jc w:val="center"/>
      </w:pPr>
      <w:r>
        <w:rPr>
          <w:rFonts w:ascii="Arial" w:cs="Arial" w:eastAsia="Arial" w:hAnsi="Arial"/>
          <w:color w:val="1F3A5F"/>
          <w:sz w:val="18"/>
          <w:szCs w:val="18"/>
        </w:rPr>
        <w:t xml:space="preserve">↳ </w:t>
      </w:r>
      <w:r>
        <w:rPr>
          <w:rFonts w:ascii="Arial" w:cs="Arial" w:eastAsia="Arial" w:hAnsi="Arial"/>
          <w:b/>
          <w:bCs/>
          <w:i/>
          <w:iCs/>
          <w:color w:val="1F3A5F"/>
          <w:sz w:val="18"/>
          <w:szCs w:val="18"/>
        </w:rPr>
        <w:t xml:space="preserve">ledger imutável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— cada transição gera evento auditável</w:t>
      </w:r>
    </w:p>
    <w:p>
      <w:pPr>
        <w:pStyle w:val="Heading2"/>
        <w:spacing w:after="80" w:before="200" w:line="276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Definições</w:t>
      </w:r>
    </w:p>
    <w:p>
      <w:pPr>
        <w:spacing w:after="60" w:before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Objeto sanitário</w:t>
      </w:r>
      <w:r>
        <w:rPr>
          <w:rFonts w:ascii="Arial" w:cs="Arial" w:eastAsia="Arial" w:hAnsi="Arial"/>
          <w:sz w:val="20"/>
          <w:szCs w:val="20"/>
        </w:rPr>
        <w:t xml:space="preserve"> — unidade discreta da experiência de cuidado, com identidade global, dono explícito e ciclo de vida observável. Exemplos: consulta, exame, prescrição, encaminhamento, laudo, autorização, cobertura.</w:t>
      </w:r>
    </w:p>
    <w:p>
      <w:pPr>
        <w:spacing w:after="60" w:before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Estado</w:t>
      </w:r>
      <w:r>
        <w:rPr>
          <w:rFonts w:ascii="Arial" w:cs="Arial" w:eastAsia="Arial" w:hAnsi="Arial"/>
          <w:sz w:val="20"/>
          <w:szCs w:val="20"/>
        </w:rPr>
        <w:t xml:space="preserve"> — posição do objeto no ciclo: </w:t>
      </w:r>
      <w:r>
        <w:rPr>
          <w:rFonts w:ascii="Courier New" w:cs="Courier New" w:eastAsia="Courier New" w:hAnsi="Courier New"/>
          <w:sz w:val="20"/>
          <w:szCs w:val="20"/>
        </w:rPr>
        <w:t xml:space="preserve">solicitado → autorizado → agendado → executado → registrado → consumido</w:t>
      </w:r>
      <w:r>
        <w:rPr>
          <w:rFonts w:ascii="Arial" w:cs="Arial" w:eastAsia="Arial" w:hAnsi="Arial"/>
          <w:sz w:val="20"/>
          <w:szCs w:val="20"/>
        </w:rPr>
        <w:t xml:space="preserve">. Esses estados existem na operação real; PicSaúde os torna explícitos, observáveis e auditáveis.</w:t>
      </w:r>
    </w:p>
    <w:p>
      <w:pPr>
        <w:spacing w:after="60" w:before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Normalização</w:t>
      </w:r>
      <w:r>
        <w:rPr>
          <w:rFonts w:ascii="Arial" w:cs="Arial" w:eastAsia="Arial" w:hAnsi="Arial"/>
          <w:sz w:val="20"/>
          <w:szCs w:val="20"/>
        </w:rPr>
        <w:t xml:space="preserve"> — representação canônica sobre padrões abertos (FHIR, TUSS, CID-10/11, DICOM, LOINC). Sistemas heterogêneos — HIS, RIS, operadora, prestador, paciente — passam a falar do mesmo objeto.</w:t>
      </w:r>
    </w:p>
    <w:p>
      <w:pPr>
        <w:spacing w:after="60" w:before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Circulação</w:t>
      </w:r>
      <w:r>
        <w:rPr>
          <w:rFonts w:ascii="Arial" w:cs="Arial" w:eastAsia="Arial" w:hAnsi="Arial"/>
          <w:sz w:val="20"/>
          <w:szCs w:val="20"/>
        </w:rPr>
        <w:t xml:space="preserve"> — roteamento de objetos entre atores (paciente, clínico, prestador, operadora, farmácia) com transições controladas e eventos observáveis em todo o ciclo.</w:t>
      </w:r>
    </w:p>
    <w:p>
      <w:pPr>
        <w:pStyle w:val="Heading2"/>
        <w:spacing w:after="80" w:before="200" w:line="276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Consequência</w:t>
      </w:r>
    </w:p>
    <w:p>
      <w:pPr>
        <w:spacing w:after="100" w:before="60" w:line="276"/>
      </w:pPr>
      <w:r>
        <w:rPr>
          <w:rFonts w:ascii="Arial" w:cs="Arial" w:eastAsia="Arial" w:hAnsi="Arial"/>
          <w:sz w:val="20"/>
          <w:szCs w:val="20"/>
        </w:rPr>
        <w:t xml:space="preserve">O atrito não é problema de interface. É consequência de três fatores arquiteturais: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C7D2DD" w:sz="4"/>
              <w:left w:val="single" w:color="C7D2DD" w:sz="4"/>
              <w:bottom w:val="single" w:color="C7D2DD" w:sz="4"/>
              <w:right w:val="single" w:color="C7D2DD" w:sz="4"/>
            </w:tcBorders>
            <w:shd w:fill="F5F0EC" w:val="clear"/>
            <w:tcMar>
              <w:top w:type="dxa" w:w="180"/>
              <w:left w:type="dxa" w:w="120"/>
              <w:bottom w:type="dxa" w:w="1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4423"/>
                <w:sz w:val="22"/>
                <w:szCs w:val="22"/>
              </w:rPr>
              <w:t xml:space="preserve">Objetos sem estado</w:t>
            </w:r>
          </w:p>
        </w:tc>
        <w:tc>
          <w:tcPr>
            <w:tcW w:type="dxa" w:w="3212"/>
            <w:tcBorders>
              <w:top w:val="single" w:color="C7D2DD" w:sz="4"/>
              <w:left w:val="single" w:color="C7D2DD" w:sz="4"/>
              <w:bottom w:val="single" w:color="C7D2DD" w:sz="4"/>
              <w:right w:val="single" w:color="C7D2DD" w:sz="4"/>
            </w:tcBorders>
            <w:shd w:fill="F5F0EC" w:val="clear"/>
            <w:tcMar>
              <w:top w:type="dxa" w:w="180"/>
              <w:left w:type="dxa" w:w="120"/>
              <w:bottom w:type="dxa" w:w="1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4423"/>
                <w:sz w:val="22"/>
                <w:szCs w:val="22"/>
              </w:rPr>
              <w:t xml:space="preserve">Estados sem padrão</w:t>
            </w:r>
          </w:p>
        </w:tc>
        <w:tc>
          <w:tcPr>
            <w:tcW w:type="dxa" w:w="3212"/>
            <w:tcBorders>
              <w:top w:val="single" w:color="C7D2DD" w:sz="4"/>
              <w:left w:val="single" w:color="C7D2DD" w:sz="4"/>
              <w:bottom w:val="single" w:color="C7D2DD" w:sz="4"/>
              <w:right w:val="single" w:color="C7D2DD" w:sz="4"/>
            </w:tcBorders>
            <w:shd w:fill="F5F0EC" w:val="clear"/>
            <w:tcMar>
              <w:top w:type="dxa" w:w="180"/>
              <w:left w:type="dxa" w:w="120"/>
              <w:bottom w:type="dxa" w:w="1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4423"/>
                <w:sz w:val="22"/>
                <w:szCs w:val="22"/>
              </w:rPr>
              <w:t xml:space="preserve">Circulação sem barramento</w:t>
            </w:r>
          </w:p>
        </w:tc>
      </w:tr>
    </w:tbl>
    <w:p>
      <w:pPr>
        <w:spacing w:after="60" w:before="160" w:line="276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PicSaúde é a camada que resolve essas três coisas. O resto da experiência decorre disso.</w:t>
      </w:r>
    </w:p>
    <w:p>
      <w:r>
        <w:br w:type="page"/>
      </w:r>
    </w:p>
    <w:p>
      <w:pPr>
        <w:pStyle w:val="Heading2"/>
        <w:spacing w:after="80" w:before="200" w:line="276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Estado atual da construção</w:t>
      </w:r>
    </w:p>
    <w:p>
      <w:pPr>
        <w:spacing w:after="60" w:before="60" w:line="276"/>
      </w:pPr>
      <w:r>
        <w:rPr>
          <w:rFonts w:ascii="Arial" w:cs="Arial" w:eastAsia="Arial" w:hAnsi="Arial"/>
          <w:sz w:val="20"/>
          <w:szCs w:val="20"/>
        </w:rPr>
        <w:t xml:space="preserve">O núcleo arquitetural está implementado e em estágio de testes consolidados. O sistema é organizado em três camadas — objetos, estados, normalização e circulação — e cobre hoje cinco subdomínios sanitários integrados:</w:t>
      </w:r>
    </w:p>
    <w:p>
      <w:pPr>
        <w:spacing w:after="60" w:before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Subdomínios implementados</w:t>
      </w:r>
      <w:r>
        <w:rPr>
          <w:rFonts w:ascii="Arial" w:cs="Arial" w:eastAsia="Arial" w:hAnsi="Arial"/>
          <w:sz w:val="20"/>
          <w:szCs w:val="20"/>
        </w:rPr>
        <w:t xml:space="preserve"> — Prescrição · Pedido de exame · Laudo · Agendamento · Circulação diagnóstica</w:t>
      </w:r>
    </w:p>
    <w:p>
      <w:pPr>
        <w:spacing w:after="40" w:before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Capacidades centrais já operacionais: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Assinatura digital ICP-Brasil PAdES-B nativa</w:t>
      </w:r>
      <w:r>
        <w:rPr>
          <w:rFonts w:ascii="Arial" w:cs="Arial" w:eastAsia="Arial" w:hAnsi="Arial"/>
          <w:sz w:val="20"/>
          <w:szCs w:val="20"/>
        </w:rPr>
        <w:t xml:space="preserve"> (pyHanko 0.34) — conformidade RDC 1.000/2025 sem intermediário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Ledger imutável append-only</w:t>
      </w:r>
      <w:r>
        <w:rPr>
          <w:rFonts w:ascii="Arial" w:cs="Arial" w:eastAsia="Arial" w:hAnsi="Arial"/>
          <w:sz w:val="20"/>
          <w:szCs w:val="20"/>
        </w:rPr>
        <w:t xml:space="preserve"> em todos os subdomínios — toda transição clínica gera evento rastreado, sem possibilidade de </w:t>
      </w:r>
      <w:r>
        <w:rPr>
          <w:rFonts w:ascii="Courier New" w:cs="Courier New" w:eastAsia="Courier New" w:hAnsi="Courier New"/>
          <w:sz w:val="20"/>
          <w:szCs w:val="20"/>
        </w:rPr>
        <w:t xml:space="preserve">UPDATE</w:t>
      </w:r>
      <w:r>
        <w:rPr>
          <w:rFonts w:ascii="Arial" w:cs="Arial" w:eastAsia="Arial" w:hAnsi="Arial"/>
          <w:sz w:val="20"/>
          <w:szCs w:val="20"/>
        </w:rPr>
        <w:t xml:space="preserve"> ou </w:t>
      </w:r>
      <w:r>
        <w:rPr>
          <w:rFonts w:ascii="Courier New" w:cs="Courier New" w:eastAsia="Courier New" w:hAnsi="Courier New"/>
          <w:sz w:val="20"/>
          <w:szCs w:val="20"/>
        </w:rPr>
        <w:t xml:space="preserve">DELETE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Cadeia de custódia explícita e granular</w:t>
      </w:r>
      <w:r>
        <w:rPr>
          <w:rFonts w:ascii="Arial" w:cs="Arial" w:eastAsia="Arial" w:hAnsi="Arial"/>
          <w:sz w:val="20"/>
          <w:szCs w:val="20"/>
        </w:rPr>
        <w:t xml:space="preserve"> — por objeto inteiro ou por item individual, com transições tipadas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instance_id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canônico</w:t>
      </w:r>
      <w:r>
        <w:rPr>
          <w:rFonts w:ascii="Arial" w:cs="Arial" w:eastAsia="Arial" w:hAnsi="Arial"/>
          <w:sz w:val="20"/>
          <w:szCs w:val="20"/>
        </w:rPr>
        <w:t xml:space="preserve"> — marca d’água forense por instância (DATA-PROTECTION §4.2)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Suporte a contexto institucional</w:t>
      </w:r>
      <w:r>
        <w:rPr>
          <w:rFonts w:ascii="Arial" w:cs="Arial" w:eastAsia="Arial" w:hAnsi="Arial"/>
          <w:sz w:val="20"/>
          <w:szCs w:val="20"/>
        </w:rPr>
        <w:t xml:space="preserve"> — </w:t>
      </w:r>
      <w:r>
        <w:rPr>
          <w:rFonts w:ascii="Courier New" w:cs="Courier New" w:eastAsia="Courier New" w:hAnsi="Courier New"/>
          <w:sz w:val="20"/>
          <w:szCs w:val="20"/>
        </w:rPr>
        <w:t xml:space="preserve">org_id</w:t>
      </w:r>
      <w:r>
        <w:rPr>
          <w:rFonts w:ascii="Arial" w:cs="Arial" w:eastAsia="Arial" w:hAnsi="Arial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sz w:val="20"/>
          <w:szCs w:val="20"/>
        </w:rPr>
        <w:t xml:space="preserve">unidade_id</w:t>
      </w:r>
      <w:r>
        <w:rPr>
          <w:rFonts w:ascii="Arial" w:cs="Arial" w:eastAsia="Arial" w:hAnsi="Arial"/>
          <w:sz w:val="20"/>
          <w:szCs w:val="20"/>
        </w:rPr>
        <w:t xml:space="preserve"> para operação multi-institucional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Geração de receita em PDF institucional</w:t>
      </w:r>
      <w:r>
        <w:rPr>
          <w:rFonts w:ascii="Arial" w:cs="Arial" w:eastAsia="Arial" w:hAnsi="Arial"/>
          <w:sz w:val="20"/>
          <w:szCs w:val="20"/>
        </w:rPr>
        <w:t xml:space="preserve"> com assinatura embarcada e hash de integridade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Stack:</w:t>
      </w:r>
      <w:r>
        <w:rPr>
          <w:rFonts w:ascii="Arial" w:cs="Arial" w:eastAsia="Arial" w:hAnsi="Arial"/>
          <w:sz w:val="20"/>
          <w:szCs w:val="20"/>
        </w:rPr>
        <w:t xml:space="preserve"> Python 3.10 · FastAPI · PostgreSQL 15+ · pyHanko 0.34 · Alembic · pytest</w:t>
      </w:r>
    </w:p>
    <w:p>
      <w:pPr>
        <w:pStyle w:val="Heading2"/>
        <w:spacing w:after="80" w:before="200" w:line="276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Posicionamento</w:t>
      </w:r>
    </w:p>
    <w:p>
      <w:pPr>
        <w:spacing w:after="60" w:before="60" w:line="276"/>
      </w:pPr>
      <w:r>
        <w:rPr>
          <w:rFonts w:ascii="Arial" w:cs="Arial" w:eastAsia="Arial" w:hAnsi="Arial"/>
          <w:sz w:val="20"/>
          <w:szCs w:val="20"/>
        </w:rPr>
        <w:t xml:space="preserve">PicSaúde é distribuído sob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AGPL-3.0</w:t>
      </w:r>
      <w:r>
        <w:rPr>
          <w:rFonts w:ascii="Arial" w:cs="Arial" w:eastAsia="Arial" w:hAnsi="Arial"/>
          <w:sz w:val="20"/>
          <w:szCs w:val="20"/>
        </w:rPr>
        <w:t xml:space="preserve">, com licença comercial dual disponível para instituições que precisem de isolamento operacional. Esta escolha é deliberada — código de infraestrutura sanitária construído para o SUS deve ser auditável por qualquer ator do sistema público. AGPL garante três coisas que importam para gestão pública e privada: ausência de lock-in, possibilidade de auditoria do código por qualquer parte interessada, e governança técnica aberta.</w:t>
      </w:r>
    </w:p>
    <w:p>
      <w:pPr>
        <w:spacing w:after="60" w:before="60" w:line="276"/>
      </w:pPr>
      <w:r>
        <w:rPr>
          <w:rFonts w:ascii="Arial" w:cs="Arial" w:eastAsia="Arial" w:hAnsi="Arial"/>
          <w:sz w:val="20"/>
          <w:szCs w:val="20"/>
        </w:rPr>
        <w:t xml:space="preserve">A camada de normalização adota exclusivamente padrões abertos (FHIR, TUSS, CID-10/11, DICOM, LOINC) — integração com sistemas legados (HIS, RIS, operadoras, farmácias, laboratórios) segue contratos versionados, com SLA por evento e trilha de auditoria em todo o ciclo.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00" w:line="276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Propriedade Intelectual</w:t>
      </w:r>
    </w:p>
    <w:p>
      <w:pPr>
        <w:spacing w:after="2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Registro de Programa de Computador — INPI</w:t>
      </w:r>
    </w:p>
    <w:p>
      <w:pPr>
        <w:spacing w:after="20" w:before="0" w:line="276"/>
      </w:pPr>
      <w:r>
        <w:rPr>
          <w:rFonts w:ascii="Arial" w:cs="Arial" w:eastAsia="Arial" w:hAnsi="Arial"/>
          <w:sz w:val="20"/>
          <w:szCs w:val="20"/>
        </w:rPr>
        <w:t xml:space="preserve">Título: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PicSaúde: Plataforma de Gestão de Objetos Sanitários com Ledger e Máquina de Estados</w:t>
      </w:r>
    </w:p>
    <w:p>
      <w:pPr>
        <w:spacing w:after="20" w:before="0" w:line="276"/>
      </w:pPr>
      <w:r>
        <w:rPr>
          <w:rFonts w:ascii="Arial" w:cs="Arial" w:eastAsia="Arial" w:hAnsi="Arial"/>
          <w:sz w:val="20"/>
          <w:szCs w:val="20"/>
        </w:rPr>
        <w:t xml:space="preserve">Processo: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BR 51 2026 002267-3</w:t>
      </w:r>
      <w:r>
        <w:rPr>
          <w:rFonts w:ascii="Arial" w:cs="Arial" w:eastAsia="Arial" w:hAnsi="Arial"/>
          <w:sz w:val="20"/>
          <w:szCs w:val="20"/>
        </w:rPr>
        <w:t xml:space="preserve"> · Titular e autor: Fabiano Tonaco Borges</w:t>
      </w:r>
    </w:p>
    <w:p>
      <w:pPr>
        <w:spacing w:after="20" w:before="0" w:line="276"/>
      </w:pPr>
      <w:r>
        <w:rPr>
          <w:rFonts w:ascii="Arial" w:cs="Arial" w:eastAsia="Arial" w:hAnsi="Arial"/>
          <w:sz w:val="20"/>
          <w:szCs w:val="20"/>
        </w:rPr>
        <w:t xml:space="preserve">Data de criação: 20/03/2026 · Publicação: RPI nº 2883 — 07/04/2026</w:t>
      </w:r>
    </w:p>
    <w:p>
      <w:pPr>
        <w:spacing w:after="80" w:before="0" w:line="276"/>
      </w:pPr>
      <w:r>
        <w:rPr>
          <w:rFonts w:ascii="Arial" w:cs="Arial" w:eastAsia="Arial" w:hAnsi="Arial"/>
          <w:sz w:val="20"/>
          <w:szCs w:val="20"/>
        </w:rPr>
        <w:t xml:space="preserve">Linguagens declaradas: HTML, JavaScript, Python, SQL</w:t>
      </w:r>
    </w:p>
    <w:p>
      <w:pPr>
        <w:spacing w:after="60" w:before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Escopo reivindicado: </w:t>
      </w:r>
      <w:r>
        <w:rPr>
          <w:rFonts w:ascii="Arial" w:cs="Arial" w:eastAsia="Arial" w:hAnsi="Arial"/>
          <w:sz w:val="20"/>
          <w:szCs w:val="20"/>
        </w:rPr>
        <w:t xml:space="preserve">44 campos de aplicação e 60+ tipos de programa, abrangendo Saúde (SD-01 a SD-11), Bioinformática (BL-01 a BL-08), Administração, Análise, Psicologia, Comunicações e Telecomunicações — coerente com uma plataforma de infraestrutura multi-módulo.</w:t>
      </w:r>
    </w:p>
    <w:p>
      <w:pPr>
        <w:spacing w:after="60" w:before="6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Marca nominativa PicSaúde</w:t>
      </w:r>
      <w:r>
        <w:rPr>
          <w:rFonts w:ascii="Arial" w:cs="Arial" w:eastAsia="Arial" w:hAnsi="Arial"/>
          <w:sz w:val="20"/>
          <w:szCs w:val="20"/>
        </w:rPr>
        <w:t xml:space="preserve"> — em depósito junto ao INPI para proteção em classes correlatas (programas de computador, serviços de saúde e plataformas digitais).</w:t>
      </w:r>
    </w:p>
    <w:p>
      <w:pPr>
        <w:pBdr>
          <w:bottom w:val="single" w:color="B0B0B0" w:sz="6" w:space="1"/>
        </w:pBdr>
        <w:spacing w:after="120" w:before="120"/>
      </w:pPr>
      <w:r>
        <w:t xml:space="preserve"/>
      </w:r>
    </w:p>
    <w:p>
      <w:pPr>
        <w:spacing w:after="80" w:before="0" w:line="276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Fabiano Tonaco Borges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— professor de Engenharia Biomédica, CTG/UFPE · autor e titular do PicSaúde ·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fabianotonaco@gmail.com</w:t>
      </w:r>
    </w:p>
    <w:p>
      <w:pPr>
        <w:spacing w:after="0" w:before="0" w:line="276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Conversas técnicas com instituições interessadas em compreender o desenho são bem-vindas.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F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2026-05-20T14:25:05.017Z</dcterms:created>
  <dcterms:modified xsi:type="dcterms:W3CDTF">2026-05-20T14:25:05.017Z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