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44"/>
          <w:szCs w:val="44"/>
        </w:rPr>
        <w:t xml:space="preserve">From Pix to Care Rails: A Common Architectural Core for Prescriptions, Lab Orders, Reports, and Dispensing</w:t>
      </w:r>
    </w:p>
    <w:tbl>
      <w:tblPr>
        <w:tblW w:type="dxa" w:w="10440"/>
        <w:tblBorders>
          <w:top w:val="none"/>
          <w:left w:val="none"/>
          <w:bottom w:val="none"/>
          <w:right w:val="none"/>
          <w:insideH w:val="single" w:color="auto" w:sz="4"/>
          <w:insideV w:val="single" w:color="auto" w:sz="4"/>
        </w:tblBorders>
      </w:tblPr>
      <w:tblGrid>
        <w:gridCol w:w="3480"/>
        <w:gridCol w:w="3480"/>
        <w:gridCol w:w="3480"/>
      </w:tblGrid>
      <w:tr>
        <w:tc>
          <w:tcPr>
            <w:tcW w:type="dxa" w:w="3480"/>
            <w:tcBorders>
              <w:top w:val="none"/>
              <w:left w:val="none"/>
              <w:bottom w:val="none"/>
              <w:right w:val="none"/>
            </w:tcBorders>
            <w:tcMar>
              <w:top w:type="dxa" w:w="80"/>
              <w:left w:type="dxa" w:w="80"/>
              <w:bottom w:type="dxa" w:w="120"/>
              <w:right w:type="dxa" w:w="80"/>
            </w:tcMar>
          </w:tcPr>
          <w:p>
            <w:pPr>
              <w:spacing w:after="0" w:line="220"/>
              <w:jc w:val="center"/>
            </w:pPr>
            <w:r>
              <w:rPr>
                <w:rFonts w:ascii="Times New Roman" w:cs="Times New Roman" w:eastAsia="Times New Roman" w:hAnsi="Times New Roman"/>
                <w:b/>
                <w:bCs/>
                <w:i w:val="false"/>
                <w:iCs w:val="false"/>
                <w:color w:val="000000"/>
                <w:sz w:val="18"/>
                <w:szCs w:val="18"/>
              </w:rPr>
              <w:t xml:space="preserve">Fabiano Tonaco Borges</w:t>
            </w:r>
          </w:p>
          <w:p>
            <w:pPr>
              <w:spacing w:after="0" w:line="220"/>
              <w:jc w:val="center"/>
            </w:pPr>
            <w:r>
              <w:rPr>
                <w:rFonts w:ascii="Times New Roman" w:cs="Times New Roman" w:eastAsia="Times New Roman" w:hAnsi="Times New Roman"/>
                <w:b w:val="false"/>
                <w:bCs w:val="false"/>
                <w:i/>
                <w:iCs/>
                <w:color w:val="000000"/>
                <w:sz w:val="18"/>
                <w:szCs w:val="18"/>
              </w:rPr>
              <w:t xml:space="preserve">Centro de Tecnologia e Geociências (CTG)</w:t>
            </w:r>
          </w:p>
          <w:p>
            <w:pPr>
              <w:spacing w:after="0" w:line="220"/>
              <w:jc w:val="center"/>
            </w:pPr>
            <w:r>
              <w:rPr>
                <w:rFonts w:ascii="Times New Roman" w:cs="Times New Roman" w:eastAsia="Times New Roman" w:hAnsi="Times New Roman"/>
                <w:b w:val="false"/>
                <w:bCs w:val="false"/>
                <w:i/>
                <w:iCs/>
                <w:color w:val="000000"/>
                <w:sz w:val="18"/>
                <w:szCs w:val="18"/>
              </w:rPr>
              <w:t xml:space="preserve">Universidade Federal de Pernambuco (UFPE)</w:t>
            </w:r>
          </w:p>
          <w:p>
            <w:pPr>
              <w:spacing w:after="0" w:line="220"/>
              <w:jc w:val="center"/>
            </w:pPr>
            <w:r>
              <w:rPr>
                <w:rFonts w:ascii="Times New Roman" w:cs="Times New Roman" w:eastAsia="Times New Roman" w:hAnsi="Times New Roman"/>
                <w:b w:val="false"/>
                <w:bCs w:val="false"/>
                <w:i w:val="false"/>
                <w:iCs w:val="false"/>
                <w:color w:val="000000"/>
                <w:sz w:val="18"/>
                <w:szCs w:val="18"/>
              </w:rPr>
              <w:t xml:space="preserve">Recife, Brazil</w:t>
            </w:r>
          </w:p>
          <w:p>
            <w:pPr>
              <w:spacing w:after="0" w:line="220"/>
              <w:jc w:val="center"/>
            </w:pPr>
            <w:r>
              <w:rPr>
                <w:rFonts w:ascii="Times New Roman" w:cs="Times New Roman" w:eastAsia="Times New Roman" w:hAnsi="Times New Roman"/>
                <w:b w:val="false"/>
                <w:bCs w:val="false"/>
                <w:i w:val="false"/>
                <w:iCs w:val="false"/>
                <w:color w:val="000000"/>
                <w:sz w:val="18"/>
                <w:szCs w:val="18"/>
              </w:rPr>
              <w:t xml:space="preserve">email / ORCID</w:t>
            </w:r>
          </w:p>
        </w:tc>
        <w:tc>
          <w:tcPr>
            <w:tcW w:type="dxa" w:w="3480"/>
            <w:tcBorders>
              <w:top w:val="none"/>
              <w:left w:val="none"/>
              <w:bottom w:val="none"/>
              <w:right w:val="none"/>
            </w:tcBorders>
            <w:tcMar>
              <w:top w:type="dxa" w:w="80"/>
              <w:left w:type="dxa" w:w="80"/>
              <w:bottom w:type="dxa" w:w="120"/>
              <w:right w:type="dxa" w:w="80"/>
            </w:tcMar>
          </w:tcPr>
          <w:p>
            <w:pPr>
              <w:spacing w:after="0" w:line="220"/>
              <w:jc w:val="center"/>
            </w:pPr>
            <w:r>
              <w:rPr>
                <w:rFonts w:ascii="Times New Roman" w:cs="Times New Roman" w:eastAsia="Times New Roman" w:hAnsi="Times New Roman"/>
                <w:b/>
                <w:bCs/>
                <w:i w:val="false"/>
                <w:iCs w:val="false"/>
                <w:color w:val="808080"/>
                <w:sz w:val="18"/>
                <w:szCs w:val="18"/>
              </w:rPr>
              <w:t xml:space="preserve">2nd Given Name Surname</w:t>
            </w:r>
          </w:p>
          <w:p>
            <w:pPr>
              <w:spacing w:after="0" w:line="220"/>
              <w:jc w:val="center"/>
            </w:pPr>
            <w:r>
              <w:rPr>
                <w:rFonts w:ascii="Times New Roman" w:cs="Times New Roman" w:eastAsia="Times New Roman" w:hAnsi="Times New Roman"/>
                <w:b w:val="false"/>
                <w:bCs w:val="false"/>
                <w:i/>
                <w:iCs/>
                <w:color w:val="808080"/>
                <w:sz w:val="18"/>
                <w:szCs w:val="18"/>
              </w:rPr>
              <w:t xml:space="preserve">dept. name of organization</w:t>
            </w:r>
          </w:p>
          <w:p>
            <w:pPr>
              <w:spacing w:after="0" w:line="220"/>
              <w:jc w:val="center"/>
            </w:pPr>
            <w:r>
              <w:rPr>
                <w:rFonts w:ascii="Times New Roman" w:cs="Times New Roman" w:eastAsia="Times New Roman" w:hAnsi="Times New Roman"/>
                <w:b w:val="false"/>
                <w:bCs w:val="false"/>
                <w:i/>
                <w:iCs/>
                <w:color w:val="808080"/>
                <w:sz w:val="18"/>
                <w:szCs w:val="18"/>
              </w:rPr>
              <w:t xml:space="preserve">name of organization</w:t>
            </w:r>
          </w:p>
          <w:p>
            <w:pPr>
              <w:spacing w:after="0" w:line="220"/>
              <w:jc w:val="center"/>
            </w:pPr>
            <w:r>
              <w:rPr>
                <w:rFonts w:ascii="Times New Roman" w:cs="Times New Roman" w:eastAsia="Times New Roman" w:hAnsi="Times New Roman"/>
                <w:b w:val="false"/>
                <w:bCs w:val="false"/>
                <w:i w:val="false"/>
                <w:iCs w:val="false"/>
                <w:color w:val="808080"/>
                <w:sz w:val="18"/>
                <w:szCs w:val="18"/>
              </w:rPr>
              <w:t xml:space="preserve">City, Country</w:t>
            </w:r>
          </w:p>
          <w:p>
            <w:pPr>
              <w:spacing w:after="0" w:line="220"/>
              <w:jc w:val="center"/>
            </w:pPr>
            <w:r>
              <w:rPr>
                <w:rFonts w:ascii="Times New Roman" w:cs="Times New Roman" w:eastAsia="Times New Roman" w:hAnsi="Times New Roman"/>
                <w:b w:val="false"/>
                <w:bCs w:val="false"/>
                <w:i w:val="false"/>
                <w:iCs w:val="false"/>
                <w:color w:val="808080"/>
                <w:sz w:val="18"/>
                <w:szCs w:val="18"/>
              </w:rPr>
              <w:t xml:space="preserve">email address or ORCID</w:t>
            </w:r>
          </w:p>
        </w:tc>
        <w:tc>
          <w:tcPr>
            <w:tcW w:type="dxa" w:w="3480"/>
            <w:tcBorders>
              <w:top w:val="none"/>
              <w:left w:val="none"/>
              <w:bottom w:val="none"/>
              <w:right w:val="none"/>
            </w:tcBorders>
            <w:tcMar>
              <w:top w:type="dxa" w:w="80"/>
              <w:left w:type="dxa" w:w="80"/>
              <w:bottom w:type="dxa" w:w="120"/>
              <w:right w:type="dxa" w:w="80"/>
            </w:tcMar>
          </w:tcPr>
          <w:p>
            <w:pPr>
              <w:spacing w:after="0" w:line="220"/>
              <w:jc w:val="center"/>
            </w:pPr>
            <w:r>
              <w:rPr>
                <w:rFonts w:ascii="Times New Roman" w:cs="Times New Roman" w:eastAsia="Times New Roman" w:hAnsi="Times New Roman"/>
                <w:b/>
                <w:bCs/>
                <w:i w:val="false"/>
                <w:iCs w:val="false"/>
                <w:color w:val="808080"/>
                <w:sz w:val="18"/>
                <w:szCs w:val="18"/>
              </w:rPr>
              <w:t xml:space="preserve">3rd Given Name Surname</w:t>
            </w:r>
          </w:p>
          <w:p>
            <w:pPr>
              <w:spacing w:after="0" w:line="220"/>
              <w:jc w:val="center"/>
            </w:pPr>
            <w:r>
              <w:rPr>
                <w:rFonts w:ascii="Times New Roman" w:cs="Times New Roman" w:eastAsia="Times New Roman" w:hAnsi="Times New Roman"/>
                <w:b w:val="false"/>
                <w:bCs w:val="false"/>
                <w:i/>
                <w:iCs/>
                <w:color w:val="808080"/>
                <w:sz w:val="18"/>
                <w:szCs w:val="18"/>
              </w:rPr>
              <w:t xml:space="preserve">dept. name of organization</w:t>
            </w:r>
          </w:p>
          <w:p>
            <w:pPr>
              <w:spacing w:after="0" w:line="220"/>
              <w:jc w:val="center"/>
            </w:pPr>
            <w:r>
              <w:rPr>
                <w:rFonts w:ascii="Times New Roman" w:cs="Times New Roman" w:eastAsia="Times New Roman" w:hAnsi="Times New Roman"/>
                <w:b w:val="false"/>
                <w:bCs w:val="false"/>
                <w:i/>
                <w:iCs/>
                <w:color w:val="808080"/>
                <w:sz w:val="18"/>
                <w:szCs w:val="18"/>
              </w:rPr>
              <w:t xml:space="preserve">name of organization</w:t>
            </w:r>
          </w:p>
          <w:p>
            <w:pPr>
              <w:spacing w:after="0" w:line="220"/>
              <w:jc w:val="center"/>
            </w:pPr>
            <w:r>
              <w:rPr>
                <w:rFonts w:ascii="Times New Roman" w:cs="Times New Roman" w:eastAsia="Times New Roman" w:hAnsi="Times New Roman"/>
                <w:b w:val="false"/>
                <w:bCs w:val="false"/>
                <w:i w:val="false"/>
                <w:iCs w:val="false"/>
                <w:color w:val="808080"/>
                <w:sz w:val="18"/>
                <w:szCs w:val="18"/>
              </w:rPr>
              <w:t xml:space="preserve">City, Country</w:t>
            </w:r>
          </w:p>
          <w:p>
            <w:pPr>
              <w:spacing w:after="0" w:line="220"/>
              <w:jc w:val="center"/>
            </w:pPr>
            <w:r>
              <w:rPr>
                <w:rFonts w:ascii="Times New Roman" w:cs="Times New Roman" w:eastAsia="Times New Roman" w:hAnsi="Times New Roman"/>
                <w:b w:val="false"/>
                <w:bCs w:val="false"/>
                <w:i w:val="false"/>
                <w:iCs w:val="false"/>
                <w:color w:val="808080"/>
                <w:sz w:val="18"/>
                <w:szCs w:val="18"/>
              </w:rPr>
              <w:t xml:space="preserve">email address or ORCID</w:t>
            </w:r>
          </w:p>
        </w:tc>
      </w:tr>
      <w:tr>
        <w:tc>
          <w:tcPr>
            <w:tcW w:type="dxa" w:w="3480"/>
            <w:tcBorders>
              <w:top w:val="none"/>
              <w:left w:val="none"/>
              <w:bottom w:val="none"/>
              <w:right w:val="none"/>
            </w:tcBorders>
            <w:tcMar>
              <w:top w:type="dxa" w:w="80"/>
              <w:left w:type="dxa" w:w="80"/>
              <w:bottom w:type="dxa" w:w="120"/>
              <w:right w:type="dxa" w:w="80"/>
            </w:tcMar>
          </w:tcPr>
          <w:p>
            <w:pPr>
              <w:spacing w:after="0" w:line="220"/>
              <w:jc w:val="center"/>
            </w:pPr>
            <w:r>
              <w:rPr>
                <w:rFonts w:ascii="Times New Roman" w:cs="Times New Roman" w:eastAsia="Times New Roman" w:hAnsi="Times New Roman"/>
                <w:b/>
                <w:bCs/>
                <w:i w:val="false"/>
                <w:iCs w:val="false"/>
                <w:color w:val="808080"/>
                <w:sz w:val="18"/>
                <w:szCs w:val="18"/>
              </w:rPr>
              <w:t xml:space="preserve">4th Given Name Surname</w:t>
            </w:r>
          </w:p>
          <w:p>
            <w:pPr>
              <w:spacing w:after="0" w:line="220"/>
              <w:jc w:val="center"/>
            </w:pPr>
            <w:r>
              <w:rPr>
                <w:rFonts w:ascii="Times New Roman" w:cs="Times New Roman" w:eastAsia="Times New Roman" w:hAnsi="Times New Roman"/>
                <w:b w:val="false"/>
                <w:bCs w:val="false"/>
                <w:i/>
                <w:iCs/>
                <w:color w:val="808080"/>
                <w:sz w:val="18"/>
                <w:szCs w:val="18"/>
              </w:rPr>
              <w:t xml:space="preserve">dept. name of organization</w:t>
            </w:r>
          </w:p>
          <w:p>
            <w:pPr>
              <w:spacing w:after="0" w:line="220"/>
              <w:jc w:val="center"/>
            </w:pPr>
            <w:r>
              <w:rPr>
                <w:rFonts w:ascii="Times New Roman" w:cs="Times New Roman" w:eastAsia="Times New Roman" w:hAnsi="Times New Roman"/>
                <w:b w:val="false"/>
                <w:bCs w:val="false"/>
                <w:i/>
                <w:iCs/>
                <w:color w:val="808080"/>
                <w:sz w:val="18"/>
                <w:szCs w:val="18"/>
              </w:rPr>
              <w:t xml:space="preserve">name of organization</w:t>
            </w:r>
          </w:p>
          <w:p>
            <w:pPr>
              <w:spacing w:after="0" w:line="220"/>
              <w:jc w:val="center"/>
            </w:pPr>
            <w:r>
              <w:rPr>
                <w:rFonts w:ascii="Times New Roman" w:cs="Times New Roman" w:eastAsia="Times New Roman" w:hAnsi="Times New Roman"/>
                <w:b w:val="false"/>
                <w:bCs w:val="false"/>
                <w:i w:val="false"/>
                <w:iCs w:val="false"/>
                <w:color w:val="808080"/>
                <w:sz w:val="18"/>
                <w:szCs w:val="18"/>
              </w:rPr>
              <w:t xml:space="preserve">City, Country</w:t>
            </w:r>
          </w:p>
          <w:p>
            <w:pPr>
              <w:spacing w:after="0" w:line="220"/>
              <w:jc w:val="center"/>
            </w:pPr>
            <w:r>
              <w:rPr>
                <w:rFonts w:ascii="Times New Roman" w:cs="Times New Roman" w:eastAsia="Times New Roman" w:hAnsi="Times New Roman"/>
                <w:b w:val="false"/>
                <w:bCs w:val="false"/>
                <w:i w:val="false"/>
                <w:iCs w:val="false"/>
                <w:color w:val="808080"/>
                <w:sz w:val="18"/>
                <w:szCs w:val="18"/>
              </w:rPr>
              <w:t xml:space="preserve">email address or ORCID</w:t>
            </w:r>
          </w:p>
        </w:tc>
        <w:tc>
          <w:tcPr>
            <w:tcW w:type="dxa" w:w="3480"/>
            <w:tcBorders>
              <w:top w:val="none"/>
              <w:left w:val="none"/>
              <w:bottom w:val="none"/>
              <w:right w:val="none"/>
            </w:tcBorders>
            <w:tcMar>
              <w:top w:type="dxa" w:w="80"/>
              <w:left w:type="dxa" w:w="80"/>
              <w:bottom w:type="dxa" w:w="120"/>
              <w:right w:type="dxa" w:w="80"/>
            </w:tcMar>
          </w:tcPr>
          <w:p>
            <w:pPr>
              <w:spacing w:after="0" w:line="220"/>
              <w:jc w:val="center"/>
            </w:pPr>
            <w:r>
              <w:rPr>
                <w:rFonts w:ascii="Times New Roman" w:cs="Times New Roman" w:eastAsia="Times New Roman" w:hAnsi="Times New Roman"/>
                <w:b/>
                <w:bCs/>
                <w:i w:val="false"/>
                <w:iCs w:val="false"/>
                <w:color w:val="808080"/>
                <w:sz w:val="18"/>
                <w:szCs w:val="18"/>
              </w:rPr>
              <w:t xml:space="preserve">5th Given Name Surname</w:t>
            </w:r>
          </w:p>
          <w:p>
            <w:pPr>
              <w:spacing w:after="0" w:line="220"/>
              <w:jc w:val="center"/>
            </w:pPr>
            <w:r>
              <w:rPr>
                <w:rFonts w:ascii="Times New Roman" w:cs="Times New Roman" w:eastAsia="Times New Roman" w:hAnsi="Times New Roman"/>
                <w:b w:val="false"/>
                <w:bCs w:val="false"/>
                <w:i/>
                <w:iCs/>
                <w:color w:val="808080"/>
                <w:sz w:val="18"/>
                <w:szCs w:val="18"/>
              </w:rPr>
              <w:t xml:space="preserve">dept. name of organization</w:t>
            </w:r>
          </w:p>
          <w:p>
            <w:pPr>
              <w:spacing w:after="0" w:line="220"/>
              <w:jc w:val="center"/>
            </w:pPr>
            <w:r>
              <w:rPr>
                <w:rFonts w:ascii="Times New Roman" w:cs="Times New Roman" w:eastAsia="Times New Roman" w:hAnsi="Times New Roman"/>
                <w:b w:val="false"/>
                <w:bCs w:val="false"/>
                <w:i/>
                <w:iCs/>
                <w:color w:val="808080"/>
                <w:sz w:val="18"/>
                <w:szCs w:val="18"/>
              </w:rPr>
              <w:t xml:space="preserve">name of organization</w:t>
            </w:r>
          </w:p>
          <w:p>
            <w:pPr>
              <w:spacing w:after="0" w:line="220"/>
              <w:jc w:val="center"/>
            </w:pPr>
            <w:r>
              <w:rPr>
                <w:rFonts w:ascii="Times New Roman" w:cs="Times New Roman" w:eastAsia="Times New Roman" w:hAnsi="Times New Roman"/>
                <w:b w:val="false"/>
                <w:bCs w:val="false"/>
                <w:i w:val="false"/>
                <w:iCs w:val="false"/>
                <w:color w:val="808080"/>
                <w:sz w:val="18"/>
                <w:szCs w:val="18"/>
              </w:rPr>
              <w:t xml:space="preserve">City, Country</w:t>
            </w:r>
          </w:p>
          <w:p>
            <w:pPr>
              <w:spacing w:after="0" w:line="220"/>
              <w:jc w:val="center"/>
            </w:pPr>
            <w:r>
              <w:rPr>
                <w:rFonts w:ascii="Times New Roman" w:cs="Times New Roman" w:eastAsia="Times New Roman" w:hAnsi="Times New Roman"/>
                <w:b w:val="false"/>
                <w:bCs w:val="false"/>
                <w:i w:val="false"/>
                <w:iCs w:val="false"/>
                <w:color w:val="808080"/>
                <w:sz w:val="18"/>
                <w:szCs w:val="18"/>
              </w:rPr>
              <w:t xml:space="preserve">email address or ORCID</w:t>
            </w:r>
          </w:p>
        </w:tc>
        <w:tc>
          <w:tcPr>
            <w:tcW w:type="dxa" w:w="3480"/>
            <w:tcBorders>
              <w:top w:val="none"/>
              <w:left w:val="none"/>
              <w:bottom w:val="none"/>
              <w:right w:val="none"/>
            </w:tcBorders>
            <w:tcMar>
              <w:top w:type="dxa" w:w="80"/>
              <w:left w:type="dxa" w:w="80"/>
              <w:bottom w:type="dxa" w:w="120"/>
              <w:right w:type="dxa" w:w="80"/>
            </w:tcMar>
          </w:tcPr>
          <w:p>
            <w:pPr>
              <w:spacing w:after="0" w:line="220"/>
              <w:jc w:val="center"/>
            </w:pPr>
            <w:r>
              <w:rPr>
                <w:rFonts w:ascii="Times New Roman" w:cs="Times New Roman" w:eastAsia="Times New Roman" w:hAnsi="Times New Roman"/>
                <w:b/>
                <w:bCs/>
                <w:i w:val="false"/>
                <w:iCs w:val="false"/>
                <w:color w:val="808080"/>
                <w:sz w:val="18"/>
                <w:szCs w:val="18"/>
              </w:rPr>
              <w:t xml:space="preserve">6th Given Name Surname</w:t>
            </w:r>
          </w:p>
          <w:p>
            <w:pPr>
              <w:spacing w:after="0" w:line="220"/>
              <w:jc w:val="center"/>
            </w:pPr>
            <w:r>
              <w:rPr>
                <w:rFonts w:ascii="Times New Roman" w:cs="Times New Roman" w:eastAsia="Times New Roman" w:hAnsi="Times New Roman"/>
                <w:b w:val="false"/>
                <w:bCs w:val="false"/>
                <w:i/>
                <w:iCs/>
                <w:color w:val="808080"/>
                <w:sz w:val="18"/>
                <w:szCs w:val="18"/>
              </w:rPr>
              <w:t xml:space="preserve">dept. name of organization</w:t>
            </w:r>
          </w:p>
          <w:p>
            <w:pPr>
              <w:spacing w:after="0" w:line="220"/>
              <w:jc w:val="center"/>
            </w:pPr>
            <w:r>
              <w:rPr>
                <w:rFonts w:ascii="Times New Roman" w:cs="Times New Roman" w:eastAsia="Times New Roman" w:hAnsi="Times New Roman"/>
                <w:b w:val="false"/>
                <w:bCs w:val="false"/>
                <w:i/>
                <w:iCs/>
                <w:color w:val="808080"/>
                <w:sz w:val="18"/>
                <w:szCs w:val="18"/>
              </w:rPr>
              <w:t xml:space="preserve">name of organization</w:t>
            </w:r>
          </w:p>
          <w:p>
            <w:pPr>
              <w:spacing w:after="0" w:line="220"/>
              <w:jc w:val="center"/>
            </w:pPr>
            <w:r>
              <w:rPr>
                <w:rFonts w:ascii="Times New Roman" w:cs="Times New Roman" w:eastAsia="Times New Roman" w:hAnsi="Times New Roman"/>
                <w:b w:val="false"/>
                <w:bCs w:val="false"/>
                <w:i w:val="false"/>
                <w:iCs w:val="false"/>
                <w:color w:val="808080"/>
                <w:sz w:val="18"/>
                <w:szCs w:val="18"/>
              </w:rPr>
              <w:t xml:space="preserve">City, Country</w:t>
            </w:r>
          </w:p>
          <w:p>
            <w:pPr>
              <w:spacing w:after="0" w:line="220"/>
              <w:jc w:val="center"/>
            </w:pPr>
            <w:r>
              <w:rPr>
                <w:rFonts w:ascii="Times New Roman" w:cs="Times New Roman" w:eastAsia="Times New Roman" w:hAnsi="Times New Roman"/>
                <w:b w:val="false"/>
                <w:bCs w:val="false"/>
                <w:i w:val="false"/>
                <w:iCs w:val="false"/>
                <w:color w:val="808080"/>
                <w:sz w:val="18"/>
                <w:szCs w:val="18"/>
              </w:rPr>
              <w:t xml:space="preserve">email address or ORCID</w:t>
            </w:r>
          </w:p>
        </w:tc>
      </w:tr>
    </w:tbl>
    <w:p>
      <w:pPr>
        <w:spacing w:after="40"/>
      </w:pPr>
      <w:r>
        <w:rPr>
          <w:sz w:val="8"/>
          <w:szCs w:val="8"/>
        </w:rPr>
        <w:t xml:space="preserve"/>
      </w:r>
    </w:p>
    <w:p>
      <w:pPr>
        <w:sectPr>
          <w:pgSz w:w="12240" w:h="15840" w:orient="portrait"/>
          <w:pgMar w:top="1080" w:right="900" w:bottom="1440" w:left="900" w:header="708" w:footer="708" w:gutter="0"/>
          <w:pgNumType/>
          <w:cols w:num="1"/>
          <w:docGrid w:linePitch="360"/>
        </w:sectPr>
      </w:pPr>
    </w:p>
    <w:p>
      <w:pPr>
        <w:spacing w:after="80" w:line="23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Health informatization in Brazil's public system (SUS) has advanced data interoperability (RNDS, e-SUS, FHIR), yet the traceability of the objects of care—prescriptions, lab orders, reports, appointments, referrals, and dispensing events—remains fragmented, with weak auditability and implicit custody. This paper proposes the traceable sanitary object as an architectural pattern: an abstraction defined by seven invariant properties—global identity (UUID), immutability after issuance, an append-only ledger, explicit and granular custody, a finite state machine, a canonical document with a cryptographic hash, and ownership from creation. We show that prescriptions, lab orders, reports, appointments, and referrals are instances of the same core—with dispensing modeled as an act within the prescription flow—and derived objects linked by referential lineage. Institutional operation is contextual while the clinical object stays global and neutral—analogous to the open settlement rails of Brazil's Pix payment system. We present a reference implementation (Python/FastAPI; PostgreSQL/SQLite with a dual-database test gate), the guarantees the model entails (a non-repudiable audit trail; dispensed not exceeding prescribed), and its ethical-regulatory posture (neutral public endpoints under LGPD Art. 11; AGPL open source). This is a proof-of-concept; ICP-Brasil signing and an external event-publishing layer are future work.</w:t>
      </w:r>
    </w:p>
    <w:p>
      <w:pPr>
        <w:spacing w:after="120" w:line="23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append-only ledger, audit trail, chain of custody, electronic prescription, health information interoperability, software architecture.</w:t>
      </w:r>
    </w:p>
    <w:p>
      <w:pPr>
        <w:spacing w:after="80" w:before="160"/>
        <w:jc w:val="center"/>
      </w:pPr>
      <w:r>
        <w:rPr>
          <w:rFonts w:ascii="Times New Roman" w:cs="Times New Roman" w:eastAsia="Times New Roman" w:hAnsi="Times New Roman"/>
          <w:smallCaps/>
          <w:sz w:val="20"/>
          <w:szCs w:val="20"/>
        </w:rPr>
        <w:t xml:space="preserve">I.  Introduction</w:t>
      </w:r>
    </w:p>
    <w:p>
      <w:pPr>
        <w:spacing w:after="60" w:line="240"/>
        <w:ind w:firstLine="200"/>
        <w:jc w:val="both"/>
      </w:pPr>
      <w:r>
        <w:rPr>
          <w:rFonts w:ascii="Times New Roman" w:cs="Times New Roman" w:eastAsia="Times New Roman" w:hAnsi="Times New Roman"/>
          <w:sz w:val="20"/>
          <w:szCs w:val="20"/>
        </w:rPr>
        <w:t xml:space="preserve">Brazil's Unified Health System (SUS) has invested heavily in the digital exchange of health data. The National Health Data Network (RNDS) adopts the HL7 FHIR standard to consolidate records from heterogeneous institutions into a distributed, national interoperability layer [1], [2]. Yet empirical assessments show that integration across national health information systems is still partial and fragmented [3], and reviews of electronic health records (EHR) in Brazil repeatedly identify interoperability and security as the dominant open problems [4], [5]. Crucially, these efforts target the exchange of clinical </w:t>
      </w:r>
      <w:r>
        <w:rPr>
          <w:rFonts w:ascii="Times New Roman" w:cs="Times New Roman" w:eastAsia="Times New Roman" w:hAnsi="Times New Roman"/>
          <w:i/>
          <w:iCs/>
          <w:sz w:val="20"/>
          <w:szCs w:val="20"/>
        </w:rPr>
        <w:t xml:space="preserve">data</w:t>
      </w:r>
      <w:r>
        <w:rPr>
          <w:rFonts w:ascii="Times New Roman" w:cs="Times New Roman" w:eastAsia="Times New Roman" w:hAnsi="Times New Roman"/>
          <w:sz w:val="20"/>
          <w:szCs w:val="20"/>
        </w:rPr>
        <w:t xml:space="preserve">, not the traceability of the clinical </w:t>
      </w:r>
      <w:r>
        <w:rPr>
          <w:rFonts w:ascii="Times New Roman" w:cs="Times New Roman" w:eastAsia="Times New Roman" w:hAnsi="Times New Roman"/>
          <w:i/>
          <w:iCs/>
          <w:sz w:val="20"/>
          <w:szCs w:val="20"/>
        </w:rPr>
        <w:t xml:space="preserve">objects</w:t>
      </w:r>
      <w:r>
        <w:rPr>
          <w:rFonts w:ascii="Times New Roman" w:cs="Times New Roman" w:eastAsia="Times New Roman" w:hAnsi="Times New Roman"/>
          <w:sz w:val="20"/>
          <w:szCs w:val="20"/>
        </w:rPr>
        <w:t xml:space="preserve"> that carry the act of care.</w:t>
      </w:r>
    </w:p>
    <w:p>
      <w:pPr>
        <w:spacing w:after="60" w:line="240"/>
        <w:ind w:firstLine="200"/>
        <w:jc w:val="both"/>
      </w:pPr>
      <w:r>
        <w:rPr>
          <w:rFonts w:ascii="Times New Roman" w:cs="Times New Roman" w:eastAsia="Times New Roman" w:hAnsi="Times New Roman"/>
          <w:sz w:val="20"/>
          <w:szCs w:val="20"/>
        </w:rPr>
        <w:t xml:space="preserve">A prescription, a lab order, a report, an appointment, a referral and a dispensing event are not merely data: they are artifacts that are issued, transferred, held, acted upon, and closed. When such artifacts lack end-to-end traceability and explicit custody, basic accountability questions become hard to answer: who issued the object, who held it at each moment, what happened to it, and whether its content was altered. These questions are simultaneously a clinical-safety concern and a regulatory one—Brazilian Federal Council of Medicine Resolution CFM 2.299/2021 requires that digitally issued medical documents be signed with an ICP-Brasil certificate, precisely to guarantee authorship, integrity and authenticity [6].</w:t>
      </w:r>
    </w:p>
    <w:p>
      <w:pPr>
        <w:spacing w:after="60" w:line="240"/>
        <w:ind w:firstLine="200"/>
        <w:jc w:val="both"/>
      </w:pPr>
      <w:r>
        <w:rPr>
          <w:rFonts w:ascii="Times New Roman" w:cs="Times New Roman" w:eastAsia="Times New Roman" w:hAnsi="Times New Roman"/>
          <w:sz w:val="20"/>
          <w:szCs w:val="20"/>
        </w:rPr>
        <w:t xml:space="preserve">Brazil offers a striking precedent in another public domain. Pix, the instant-payment system operated by the Central Bank, was designed from the outset as open public infrastructure: standardized APIs, common rules, and equal access for banks, fintechs, governments and new entrants. In Pix, the object—a transfer—is global and neutral, addressed by a portable key, while the regulated settlement rails are the shared substrate on which any participant operates. The model has drawn international attention as an example of payments treated as public infrastructure [10]. We argue that public health lacks equivalent open rails for its own objects: there is no shared, neutral substrate on which a sanitary object can be issued once and then traced, audited and acted upon across institutions.</w:t>
      </w:r>
    </w:p>
    <w:p>
      <w:pPr>
        <w:spacing w:after="60" w:line="240"/>
        <w:ind w:firstLine="200"/>
        <w:jc w:val="both"/>
      </w:pPr>
      <w:r>
        <w:rPr>
          <w:rFonts w:ascii="Times New Roman" w:cs="Times New Roman" w:eastAsia="Times New Roman" w:hAnsi="Times New Roman"/>
          <w:sz w:val="20"/>
          <w:szCs w:val="20"/>
        </w:rPr>
        <w:t xml:space="preserve">This paper proposes the traceable sanitary object as an architectural pattern that supplies exactly such a substrate at the application-architecture level. The pattern defines an object that carries its own identity, immutability, ledger, custody chain, state machine, canonical document and ownership—independently of any single institution. Our claimed contribution is the pattern itself (the core), demonstrated through an open-source reference implementation, PicSaúde, rather than a product. We are explicit that PicSaúde is a proof-of-concept and not a system deployed at clinical scale.</w:t>
      </w:r>
    </w:p>
    <w:p>
      <w:pPr>
        <w:spacing w:after="60" w:line="240"/>
        <w:ind w:firstLine="200"/>
        <w:jc w:val="both"/>
      </w:pPr>
      <w:r>
        <w:rPr>
          <w:rFonts w:ascii="Times New Roman" w:cs="Times New Roman" w:eastAsia="Times New Roman" w:hAnsi="Times New Roman"/>
          <w:sz w:val="20"/>
          <w:szCs w:val="20"/>
        </w:rPr>
        <w:t xml:space="preserve">The remainder of the paper is organized as follows. Section II reviews related work. Section III defines the conceptual model and its seven invariant properties. Section IV details the architecture. Section V demonstrates generalization across clinical objects. Section VI describes the implementation and the guarantees the model entails. Section VII discusses trade-offs, ethics and limitations, and Section VIII concludes.</w:t>
      </w:r>
    </w:p>
    <w:p>
      <w:pPr>
        <w:spacing w:after="80" w:before="160"/>
        <w:jc w:val="center"/>
      </w:pPr>
      <w:r>
        <w:rPr>
          <w:rFonts w:ascii="Times New Roman" w:cs="Times New Roman" w:eastAsia="Times New Roman" w:hAnsi="Times New Roman"/>
          <w:smallCaps/>
          <w:sz w:val="20"/>
          <w:szCs w:val="20"/>
        </w:rPr>
        <w:t xml:space="preserve">II.  Related Work</w:t>
      </w:r>
    </w:p>
    <w:p>
      <w:pPr>
        <w:spacing w:after="60" w:line="240"/>
        <w:ind w:firstLine="200"/>
        <w:jc w:val="both"/>
      </w:pPr>
      <w:r>
        <w:rPr>
          <w:rFonts w:ascii="Times New Roman" w:cs="Times New Roman" w:eastAsia="Times New Roman" w:hAnsi="Times New Roman"/>
          <w:b/>
          <w:bCs/>
          <w:i w:val="false"/>
          <w:iCs w:val="false"/>
          <w:sz w:val="20"/>
          <w:szCs w:val="20"/>
        </w:rPr>
        <w:t xml:space="preserve">National health-data infrastructure. </w:t>
      </w:r>
      <w:r>
        <w:rPr>
          <w:rFonts w:ascii="Times New Roman" w:cs="Times New Roman" w:eastAsia="Times New Roman" w:hAnsi="Times New Roman"/>
          <w:sz w:val="20"/>
          <w:szCs w:val="20"/>
        </w:rPr>
        <w:t xml:space="preserve">The dominant line of work in Brazil concerns semantic and syntactic interoperability of clinical data. RNDS standardizes exchange through HL7 FHIR resources and controlled terminologies [1], [2]. Studies of the e-SUS Primary Care strategy quantify how national information systems remain only partially integrated, with persistent fragmentation across care and surveillance domains [3]. Broader reviews of EHR development in Brazil conclude that interoperability is considered essential by most authors, while also flagging access-control and data-security gaps [4]; comparative analyses across Latin America emphasize governance continuity as a recurring weakness [5]. This body of work is centered on moving </w:t>
      </w:r>
      <w:r>
        <w:rPr>
          <w:rFonts w:ascii="Times New Roman" w:cs="Times New Roman" w:eastAsia="Times New Roman" w:hAnsi="Times New Roman"/>
          <w:i/>
          <w:iCs/>
          <w:sz w:val="20"/>
          <w:szCs w:val="20"/>
        </w:rPr>
        <w:t xml:space="preserve">data</w:t>
      </w:r>
      <w:r>
        <w:rPr>
          <w:rFonts w:ascii="Times New Roman" w:cs="Times New Roman" w:eastAsia="Times New Roman" w:hAnsi="Times New Roman"/>
          <w:sz w:val="20"/>
          <w:szCs w:val="20"/>
        </w:rPr>
        <w:t xml:space="preserve"> between systems, not on giving each clinical artifact an auditable life cycle.</w:t>
      </w:r>
    </w:p>
    <w:p>
      <w:pPr>
        <w:spacing w:after="60" w:line="240"/>
        <w:ind w:firstLine="200"/>
        <w:jc w:val="both"/>
      </w:pPr>
      <w:r>
        <w:rPr>
          <w:rFonts w:ascii="Times New Roman" w:cs="Times New Roman" w:eastAsia="Times New Roman" w:hAnsi="Times New Roman"/>
          <w:b/>
          <w:bCs/>
          <w:i w:val="false"/>
          <w:iCs w:val="false"/>
          <w:sz w:val="20"/>
          <w:szCs w:val="20"/>
        </w:rPr>
        <w:t xml:space="preserve">Electronic prescription and digital signature. </w:t>
      </w:r>
      <w:r>
        <w:rPr>
          <w:rFonts w:ascii="Times New Roman" w:cs="Times New Roman" w:eastAsia="Times New Roman" w:hAnsi="Times New Roman"/>
          <w:sz w:val="20"/>
          <w:szCs w:val="20"/>
        </w:rPr>
        <w:t xml:space="preserve">Resolution CFM 2.299/2021 and related norms define the digital issuance of medical documents and mandate ICP-Brasil signing for authorship, integrity and authenticity [6]. These norms specify what a valid signed document must contain, but not an architecture for tracing the object after issuance or for transferring its custody between actors.</w:t>
      </w:r>
    </w:p>
    <w:p>
      <w:pPr>
        <w:spacing w:after="60" w:line="240"/>
        <w:ind w:firstLine="200"/>
        <w:jc w:val="both"/>
      </w:pPr>
      <w:r>
        <w:rPr>
          <w:rFonts w:ascii="Times New Roman" w:cs="Times New Roman" w:eastAsia="Times New Roman" w:hAnsi="Times New Roman"/>
          <w:b/>
          <w:bCs/>
          <w:i w:val="false"/>
          <w:iCs w:val="false"/>
          <w:sz w:val="20"/>
          <w:szCs w:val="20"/>
        </w:rPr>
        <w:t xml:space="preserve">Event sourcing and append-only ledgers. </w:t>
      </w:r>
      <w:r>
        <w:rPr>
          <w:rFonts w:ascii="Times New Roman" w:cs="Times New Roman" w:eastAsia="Times New Roman" w:hAnsi="Times New Roman"/>
          <w:sz w:val="20"/>
          <w:szCs w:val="20"/>
        </w:rPr>
        <w:t xml:space="preserve">Outside health care, event sourcing is an established pattern in which state changes are captured as immutable events in an append-only store that doubles as a complete audit trail [7]. We adopt this pattern internally as the </w:t>
      </w:r>
      <w:r>
        <w:rPr>
          <w:rFonts w:ascii="Times New Roman" w:cs="Times New Roman" w:eastAsia="Times New Roman" w:hAnsi="Times New Roman"/>
          <w:i/>
          <w:iCs/>
          <w:sz w:val="20"/>
          <w:szCs w:val="20"/>
        </w:rPr>
        <w:t xml:space="preserve">ledger</w:t>
      </w:r>
      <w:r>
        <w:rPr>
          <w:rFonts w:ascii="Times New Roman" w:cs="Times New Roman" w:eastAsia="Times New Roman" w:hAnsi="Times New Roman"/>
          <w:sz w:val="20"/>
          <w:szCs w:val="20"/>
        </w:rPr>
        <w:t xml:space="preserve"> property of the sanitary object.</w:t>
      </w:r>
    </w:p>
    <w:p>
      <w:pPr>
        <w:spacing w:after="60" w:line="240"/>
        <w:ind w:firstLine="200"/>
        <w:jc w:val="both"/>
      </w:pPr>
      <w:r>
        <w:rPr>
          <w:rFonts w:ascii="Times New Roman" w:cs="Times New Roman" w:eastAsia="Times New Roman" w:hAnsi="Times New Roman"/>
          <w:b/>
          <w:bCs/>
          <w:i w:val="false"/>
          <w:iCs w:val="false"/>
          <w:sz w:val="20"/>
          <w:szCs w:val="20"/>
        </w:rPr>
        <w:t xml:space="preserve">Track-and-trace and chain of custody. </w:t>
      </w:r>
      <w:r>
        <w:rPr>
          <w:rFonts w:ascii="Times New Roman" w:cs="Times New Roman" w:eastAsia="Times New Roman" w:hAnsi="Times New Roman"/>
          <w:sz w:val="20"/>
          <w:szCs w:val="20"/>
        </w:rPr>
        <w:t xml:space="preserve">In the pharmaceutical supply chain, blockchain-based and serialization-based approaches provide tamper-evident chain-of-custody from manufacturer to dispensing point, often motivated by regulation such as the U.S. DSCSA and the EU FMD [8], [9]. This work traces physical product units across organizations; our pattern instead traces </w:t>
      </w:r>
      <w:r>
        <w:rPr>
          <w:rFonts w:ascii="Times New Roman" w:cs="Times New Roman" w:eastAsia="Times New Roman" w:hAnsi="Times New Roman"/>
          <w:i/>
          <w:iCs/>
          <w:sz w:val="20"/>
          <w:szCs w:val="20"/>
        </w:rPr>
        <w:t xml:space="preserve">clinical</w:t>
      </w:r>
      <w:r>
        <w:rPr>
          <w:rFonts w:ascii="Times New Roman" w:cs="Times New Roman" w:eastAsia="Times New Roman" w:hAnsi="Times New Roman"/>
          <w:sz w:val="20"/>
          <w:szCs w:val="20"/>
        </w:rPr>
        <w:t xml:space="preserve"> objects (and their items) across </w:t>
      </w:r>
      <w:r>
        <w:rPr>
          <w:rFonts w:ascii="Times New Roman" w:cs="Times New Roman" w:eastAsia="Times New Roman" w:hAnsi="Times New Roman"/>
          <w:i/>
          <w:iCs/>
          <w:sz w:val="20"/>
          <w:szCs w:val="20"/>
        </w:rPr>
        <w:t xml:space="preserve">clinical roles</w:t>
      </w:r>
      <w:r>
        <w:rPr>
          <w:rFonts w:ascii="Times New Roman" w:cs="Times New Roman" w:eastAsia="Times New Roman" w:hAnsi="Times New Roman"/>
          <w:sz w:val="20"/>
          <w:szCs w:val="20"/>
        </w:rPr>
        <w:t xml:space="preserve">, and does so without requiring a distributed ledger or shared consensus.</w:t>
      </w:r>
    </w:p>
    <w:p>
      <w:pPr>
        <w:spacing w:after="60" w:line="240"/>
        <w:ind w:firstLine="200"/>
        <w:jc w:val="both"/>
      </w:pPr>
      <w:r>
        <w:rPr>
          <w:rFonts w:ascii="Times New Roman" w:cs="Times New Roman" w:eastAsia="Times New Roman" w:hAnsi="Times New Roman"/>
          <w:b/>
          <w:bCs/>
          <w:i w:val="false"/>
          <w:iCs w:val="false"/>
          <w:sz w:val="20"/>
          <w:szCs w:val="20"/>
        </w:rPr>
        <w:t xml:space="preserve">Positioning. </w:t>
      </w:r>
      <w:r>
        <w:rPr>
          <w:rFonts w:ascii="Times New Roman" w:cs="Times New Roman" w:eastAsia="Times New Roman" w:hAnsi="Times New Roman"/>
          <w:sz w:val="20"/>
          <w:szCs w:val="20"/>
        </w:rPr>
        <w:t xml:space="preserve">Prior art addresses, separately, data interoperability, signed-document compliance, generic event sourcing, and supply-chain track-and-trace. The contribution of this paper is a unifying </w:t>
      </w:r>
      <w:r>
        <w:rPr>
          <w:rFonts w:ascii="Times New Roman" w:cs="Times New Roman" w:eastAsia="Times New Roman" w:hAnsi="Times New Roman"/>
          <w:i/>
          <w:iCs/>
          <w:sz w:val="20"/>
          <w:szCs w:val="20"/>
        </w:rPr>
        <w:t xml:space="preserve">domain</w:t>
      </w:r>
      <w:r>
        <w:rPr>
          <w:rFonts w:ascii="Times New Roman" w:cs="Times New Roman" w:eastAsia="Times New Roman" w:hAnsi="Times New Roman"/>
          <w:sz w:val="20"/>
          <w:szCs w:val="20"/>
        </w:rPr>
        <w:t xml:space="preserve"> pattern for heterogeneous clinical objects—one that combines global identity, immutability with referential lineage, an append-only ledger, explicit and granular custody, a finite state machine, a canonical document with hash, and ownership from creation—expressed at the level of application architecture and instantiable on conventional relational infrastructure.</w:t>
      </w:r>
    </w:p>
    <w:p>
      <w:pPr>
        <w:spacing w:after="80" w:before="160"/>
        <w:jc w:val="center"/>
      </w:pPr>
      <w:r>
        <w:rPr>
          <w:rFonts w:ascii="Times New Roman" w:cs="Times New Roman" w:eastAsia="Times New Roman" w:hAnsi="Times New Roman"/>
          <w:smallCaps/>
          <w:sz w:val="20"/>
          <w:szCs w:val="20"/>
        </w:rPr>
        <w:t xml:space="preserve">III.  The Traceable Sanitary Object</w:t>
      </w:r>
    </w:p>
    <w:p>
      <w:pPr>
        <w:spacing w:after="60" w:line="240"/>
        <w:ind w:firstLine="200"/>
        <w:jc w:val="both"/>
      </w:pPr>
      <w:r>
        <w:rPr>
          <w:rFonts w:ascii="Times New Roman" w:cs="Times New Roman" w:eastAsia="Times New Roman" w:hAnsi="Times New Roman"/>
          <w:sz w:val="20"/>
          <w:szCs w:val="20"/>
        </w:rPr>
        <w:t xml:space="preserve">We define a </w:t>
      </w:r>
      <w:r>
        <w:rPr>
          <w:rFonts w:ascii="Times New Roman" w:cs="Times New Roman" w:eastAsia="Times New Roman" w:hAnsi="Times New Roman"/>
          <w:i/>
          <w:iCs/>
          <w:sz w:val="20"/>
          <w:szCs w:val="20"/>
        </w:rPr>
        <w:t xml:space="preserve">traceable sanitary object</w:t>
      </w:r>
      <w:r>
        <w:rPr>
          <w:rFonts w:ascii="Times New Roman" w:cs="Times New Roman" w:eastAsia="Times New Roman" w:hAnsi="Times New Roman"/>
          <w:sz w:val="20"/>
          <w:szCs w:val="20"/>
        </w:rPr>
        <w:t xml:space="preserve"> as any artifact of care that has its own clinical identity and an auditable life cycle. The pattern is characterized by seven invariant properties (Fig. 1).</w:t>
      </w:r>
    </w:p>
    <w:p>
      <w:pPr>
        <w:spacing w:after="40" w:before="100"/>
        <w:jc w:val="center"/>
      </w:pPr>
      <w:r>
        <w:rPr>
          <w:sz w:val="8"/>
          <w:szCs w:val="8"/>
        </w:rPr>
        <w:t xml:space="preserve"/>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4900"/>
      </w:tblGrid>
      <w:tr>
        <w:tc>
          <w:tcPr>
            <w:tcW w:type="dxa" w:w="4900"/>
            <w:tcBorders>
              <w:top w:val="single" w:color="AAAAAA" w:sz="4"/>
              <w:left w:val="single" w:color="AAAAAA" w:sz="4"/>
              <w:bottom w:val="single" w:color="AAAAAA" w:sz="4"/>
              <w:right w:val="single" w:color="AAAAAA" w:sz="4"/>
            </w:tcBorders>
            <w:tcMar>
              <w:top w:type="dxa" w:w="360"/>
              <w:left w:type="dxa" w:w="120"/>
              <w:bottom w:type="dxa" w:w="360"/>
              <w:right w:type="dxa" w:w="120"/>
            </w:tcMar>
          </w:tcPr>
          <w:p>
            <w:pPr>
              <w:spacing w:after="0"/>
              <w:jc w:val="center"/>
            </w:pPr>
            <w:r>
              <w:rPr>
                <w:rFonts w:ascii="Times New Roman" w:cs="Times New Roman" w:eastAsia="Times New Roman" w:hAnsi="Times New Roman"/>
                <w:b/>
                <w:bCs/>
                <w:color w:val="C00000"/>
                <w:sz w:val="20"/>
                <w:szCs w:val="20"/>
              </w:rPr>
              <w:t xml:space="preserve">render from Mermaid → place PNG here</w:t>
            </w:r>
          </w:p>
        </w:tc>
      </w:tr>
    </w:tbl>
    <w:p>
      <w:pPr>
        <w:spacing w:after="120" w:before="40"/>
        <w:jc w:val="center"/>
      </w:pPr>
      <w:r>
        <w:rPr>
          <w:rFonts w:ascii="Times New Roman" w:cs="Times New Roman" w:eastAsia="Times New Roman" w:hAnsi="Times New Roman"/>
          <w:sz w:val="18"/>
          <w:szCs w:val="18"/>
        </w:rPr>
        <w:t xml:space="preserve">Fig. 1. The traceable sanitary object and its seven invariant properties.</w:t>
      </w:r>
    </w:p>
    <w:p>
      <w:pPr>
        <w:spacing w:after="60" w:line="240"/>
        <w:ind w:firstLine="200"/>
        <w:jc w:val="both"/>
      </w:pPr>
      <w:r>
        <w:rPr>
          <w:rFonts w:ascii="Times New Roman" w:cs="Times New Roman" w:eastAsia="Times New Roman" w:hAnsi="Times New Roman"/>
          <w:b w:val="false"/>
          <w:bCs w:val="false"/>
          <w:i/>
          <w:iCs/>
          <w:sz w:val="20"/>
          <w:szCs w:val="20"/>
        </w:rPr>
        <w:t xml:space="preserve">(a) Global identity. </w:t>
      </w:r>
      <w:r>
        <w:rPr>
          <w:rFonts w:ascii="Times New Roman" w:cs="Times New Roman" w:eastAsia="Times New Roman" w:hAnsi="Times New Roman"/>
          <w:sz w:val="20"/>
          <w:szCs w:val="20"/>
        </w:rPr>
        <w:t xml:space="preserve">Every object carries a protocol (a UUID) that is unique, immutable and independent of any institution—the primary handle through which the object is referenced, audited and shared, in direct analogy to a portable Pix key.</w:t>
      </w:r>
    </w:p>
    <w:p>
      <w:pPr>
        <w:spacing w:after="60" w:line="240"/>
        <w:ind w:firstLine="200"/>
        <w:jc w:val="both"/>
      </w:pPr>
      <w:r>
        <w:rPr>
          <w:rFonts w:ascii="Times New Roman" w:cs="Times New Roman" w:eastAsia="Times New Roman" w:hAnsi="Times New Roman"/>
          <w:b w:val="false"/>
          <w:bCs w:val="false"/>
          <w:i/>
          <w:iCs/>
          <w:sz w:val="20"/>
          <w:szCs w:val="20"/>
        </w:rPr>
        <w:t xml:space="preserve">(b) Immutability with lineage. </w:t>
      </w:r>
      <w:r>
        <w:rPr>
          <w:rFonts w:ascii="Times New Roman" w:cs="Times New Roman" w:eastAsia="Times New Roman" w:hAnsi="Times New Roman"/>
          <w:sz w:val="20"/>
          <w:szCs w:val="20"/>
        </w:rPr>
        <w:t xml:space="preserve">An object is never edited after issuance. Any correction, renewal or re-issuance produces a new derived object that points back to its predecessor through an origin reference, forming an explicit lineage chain. Audit therefore never loses history.</w:t>
      </w:r>
    </w:p>
    <w:p>
      <w:pPr>
        <w:spacing w:after="60" w:line="240"/>
        <w:ind w:firstLine="200"/>
        <w:jc w:val="both"/>
      </w:pPr>
      <w:r>
        <w:rPr>
          <w:rFonts w:ascii="Times New Roman" w:cs="Times New Roman" w:eastAsia="Times New Roman" w:hAnsi="Times New Roman"/>
          <w:b w:val="false"/>
          <w:bCs w:val="false"/>
          <w:i/>
          <w:iCs/>
          <w:sz w:val="20"/>
          <w:szCs w:val="20"/>
        </w:rPr>
        <w:t xml:space="preserve">(c) Append-only ledger. </w:t>
      </w:r>
      <w:r>
        <w:rPr>
          <w:rFonts w:ascii="Times New Roman" w:cs="Times New Roman" w:eastAsia="Times New Roman" w:hAnsi="Times New Roman"/>
          <w:sz w:val="20"/>
          <w:szCs w:val="20"/>
        </w:rPr>
        <w:t xml:space="preserve">Every business-relevant event is recorded as an insertion into an events table that never receives updates or deletions. This internal event-sourcing log is the backbone of auditability.</w:t>
      </w:r>
    </w:p>
    <w:p>
      <w:pPr>
        <w:spacing w:after="60" w:line="240"/>
        <w:ind w:firstLine="200"/>
        <w:jc w:val="both"/>
      </w:pPr>
      <w:r>
        <w:rPr>
          <w:rFonts w:ascii="Times New Roman" w:cs="Times New Roman" w:eastAsia="Times New Roman" w:hAnsi="Times New Roman"/>
          <w:b w:val="false"/>
          <w:bCs w:val="false"/>
          <w:i/>
          <w:iCs/>
          <w:sz w:val="20"/>
          <w:szCs w:val="20"/>
        </w:rPr>
        <w:t xml:space="preserve">(d) Explicit, granular custody. </w:t>
      </w:r>
      <w:r>
        <w:rPr>
          <w:rFonts w:ascii="Times New Roman" w:cs="Times New Roman" w:eastAsia="Times New Roman" w:hAnsi="Times New Roman"/>
          <w:sz w:val="20"/>
          <w:szCs w:val="20"/>
        </w:rPr>
        <w:t xml:space="preserve">Each object has a single custodian at every moment, and every transfer is recorded in a custody chain. Custody can be held over an entire object or over an individual item, which is what makes partial flows (e.g., partial dispensing) traceable.</w:t>
      </w:r>
    </w:p>
    <w:p>
      <w:pPr>
        <w:spacing w:after="60" w:line="240"/>
        <w:ind w:firstLine="200"/>
        <w:jc w:val="both"/>
      </w:pPr>
      <w:r>
        <w:rPr>
          <w:rFonts w:ascii="Times New Roman" w:cs="Times New Roman" w:eastAsia="Times New Roman" w:hAnsi="Times New Roman"/>
          <w:b w:val="false"/>
          <w:bCs w:val="false"/>
          <w:i/>
          <w:iCs/>
          <w:sz w:val="20"/>
          <w:szCs w:val="20"/>
        </w:rPr>
        <w:t xml:space="preserve">(e) Finite state machine. </w:t>
      </w:r>
      <w:r>
        <w:rPr>
          <w:rFonts w:ascii="Times New Roman" w:cs="Times New Roman" w:eastAsia="Times New Roman" w:hAnsi="Times New Roman"/>
          <w:sz w:val="20"/>
          <w:szCs w:val="20"/>
        </w:rPr>
        <w:t xml:space="preserve">Each object type has an explicit set of states and valid transitions, with terminal states distinguished by clinical meaning. A digital flow is kept separate from a purely physical flow (paper issuance that never enters the digital cycle), avoiding category errors between, for instance, a clinical revocation and a paper-only closure.</w:t>
      </w:r>
    </w:p>
    <w:p>
      <w:pPr>
        <w:spacing w:after="60" w:line="240"/>
        <w:ind w:firstLine="200"/>
        <w:jc w:val="both"/>
      </w:pPr>
      <w:r>
        <w:rPr>
          <w:rFonts w:ascii="Times New Roman" w:cs="Times New Roman" w:eastAsia="Times New Roman" w:hAnsi="Times New Roman"/>
          <w:b w:val="false"/>
          <w:bCs w:val="false"/>
          <w:i/>
          <w:iCs/>
          <w:sz w:val="20"/>
          <w:szCs w:val="20"/>
        </w:rPr>
        <w:t xml:space="preserve">(f) Canonical document with hash. </w:t>
      </w:r>
      <w:r>
        <w:rPr>
          <w:rFonts w:ascii="Times New Roman" w:cs="Times New Roman" w:eastAsia="Times New Roman" w:hAnsi="Times New Roman"/>
          <w:sz w:val="20"/>
          <w:szCs w:val="20"/>
        </w:rPr>
        <w:t xml:space="preserve">The object is serialized deterministically into a canonical document from which a SHA-256 digest is computed—the integrity anchor and the basis for ICP-Brasil signing under the PAdES profile; in the current proof-of-concept the signing step is a stub (Section VII).</w:t>
      </w:r>
    </w:p>
    <w:p>
      <w:pPr>
        <w:spacing w:after="60" w:line="240"/>
        <w:ind w:firstLine="200"/>
        <w:jc w:val="both"/>
      </w:pPr>
      <w:r>
        <w:rPr>
          <w:rFonts w:ascii="Times New Roman" w:cs="Times New Roman" w:eastAsia="Times New Roman" w:hAnsi="Times New Roman"/>
          <w:b w:val="false"/>
          <w:bCs w:val="false"/>
          <w:i/>
          <w:iCs/>
          <w:sz w:val="20"/>
          <w:szCs w:val="20"/>
        </w:rPr>
        <w:t xml:space="preserve">(g) Ownership from creation and public neutrality. </w:t>
      </w:r>
      <w:r>
        <w:rPr>
          <w:rFonts w:ascii="Times New Roman" w:cs="Times New Roman" w:eastAsia="Times New Roman" w:hAnsi="Times New Roman"/>
          <w:sz w:val="20"/>
          <w:szCs w:val="20"/>
        </w:rPr>
        <w:t xml:space="preserve">Access control and an inline identity assertion are enforced on every private endpoint from the moment the object is created. Public endpoints are kept neutral—carrying no clinical data—so that verification can be offered without exposing sensitive information, consistent with LGPD Art. 11 [11].</w:t>
      </w:r>
    </w:p>
    <w:p>
      <w:pPr>
        <w:spacing w:after="80" w:before="160"/>
        <w:jc w:val="center"/>
      </w:pPr>
      <w:r>
        <w:rPr>
          <w:rFonts w:ascii="Times New Roman" w:cs="Times New Roman" w:eastAsia="Times New Roman" w:hAnsi="Times New Roman"/>
          <w:smallCaps/>
          <w:sz w:val="20"/>
          <w:szCs w:val="20"/>
        </w:rPr>
        <w:t xml:space="preserve">IV.  Architecture</w:t>
      </w:r>
    </w:p>
    <w:p>
      <w:pPr>
        <w:spacing w:after="60" w:line="240"/>
        <w:ind w:firstLine="200"/>
        <w:jc w:val="both"/>
      </w:pPr>
      <w:r>
        <w:rPr>
          <w:rFonts w:ascii="Times New Roman" w:cs="Times New Roman" w:eastAsia="Times New Roman" w:hAnsi="Times New Roman"/>
          <w:sz w:val="20"/>
          <w:szCs w:val="20"/>
        </w:rPr>
        <w:t xml:space="preserve">The architecture realizes the seven properties on a conventional relational stack. Fig. 2 shows the prescription life-cycle state machine and Fig. 3 the custody chain together with derivation lineage.</w:t>
      </w:r>
    </w:p>
    <w:p>
      <w:pPr>
        <w:spacing w:after="40" w:before="100"/>
        <w:jc w:val="center"/>
      </w:pPr>
      <w:r>
        <w:rPr>
          <w:sz w:val="8"/>
          <w:szCs w:val="8"/>
        </w:rPr>
        <w:t xml:space="preserve"/>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4900"/>
      </w:tblGrid>
      <w:tr>
        <w:tc>
          <w:tcPr>
            <w:tcW w:type="dxa" w:w="4900"/>
            <w:tcBorders>
              <w:top w:val="single" w:color="AAAAAA" w:sz="4"/>
              <w:left w:val="single" w:color="AAAAAA" w:sz="4"/>
              <w:bottom w:val="single" w:color="AAAAAA" w:sz="4"/>
              <w:right w:val="single" w:color="AAAAAA" w:sz="4"/>
            </w:tcBorders>
            <w:tcMar>
              <w:top w:type="dxa" w:w="360"/>
              <w:left w:type="dxa" w:w="120"/>
              <w:bottom w:type="dxa" w:w="360"/>
              <w:right w:type="dxa" w:w="120"/>
            </w:tcMar>
          </w:tcPr>
          <w:p>
            <w:pPr>
              <w:spacing w:after="0"/>
              <w:jc w:val="center"/>
            </w:pPr>
            <w:r>
              <w:rPr>
                <w:rFonts w:ascii="Times New Roman" w:cs="Times New Roman" w:eastAsia="Times New Roman" w:hAnsi="Times New Roman"/>
                <w:b/>
                <w:bCs/>
                <w:color w:val="C00000"/>
                <w:sz w:val="20"/>
                <w:szCs w:val="20"/>
              </w:rPr>
              <w:t xml:space="preserve">render from Mermaid → place PNG here</w:t>
            </w:r>
          </w:p>
        </w:tc>
      </w:tr>
    </w:tbl>
    <w:p>
      <w:pPr>
        <w:spacing w:after="120" w:before="40"/>
        <w:jc w:val="center"/>
      </w:pPr>
      <w:r>
        <w:rPr>
          <w:rFonts w:ascii="Times New Roman" w:cs="Times New Roman" w:eastAsia="Times New Roman" w:hAnsi="Times New Roman"/>
          <w:sz w:val="18"/>
          <w:szCs w:val="18"/>
        </w:rPr>
        <w:t xml:space="preserve">Fig. 2. Prescription life-cycle state machine (digital vs. physical flow).</w:t>
      </w:r>
    </w:p>
    <w:p>
      <w:pPr>
        <w:spacing w:after="60" w:line="240"/>
        <w:ind w:firstLine="200"/>
        <w:jc w:val="both"/>
      </w:pPr>
      <w:r>
        <w:rPr>
          <w:rFonts w:ascii="Times New Roman" w:cs="Times New Roman" w:eastAsia="Times New Roman" w:hAnsi="Times New Roman"/>
          <w:b w:val="false"/>
          <w:bCs w:val="false"/>
          <w:i/>
          <w:iCs/>
          <w:sz w:val="20"/>
          <w:szCs w:val="20"/>
        </w:rPr>
        <w:t xml:space="preserve">A. Immutable ledger. </w:t>
      </w:r>
      <w:r>
        <w:rPr>
          <w:rFonts w:ascii="Times New Roman" w:cs="Times New Roman" w:eastAsia="Times New Roman" w:hAnsi="Times New Roman"/>
          <w:sz w:val="20"/>
          <w:szCs w:val="20"/>
        </w:rPr>
        <w:t xml:space="preserve">Each object family has an events table that admits only insertions. A controlled vocabulary of events—issuance, renewal, correction, custody transfer, dispensing, partial dispensing, item return—is recorded with actor, timestamp and payload. Because no update or deletion is permitted, the ledger provides a non-destructive, append-only history that underpins every audit query.</w:t>
      </w:r>
    </w:p>
    <w:p>
      <w:pPr>
        <w:spacing w:after="60" w:line="240"/>
        <w:ind w:firstLine="200"/>
        <w:jc w:val="both"/>
      </w:pPr>
      <w:r>
        <w:rPr>
          <w:rFonts w:ascii="Times New Roman" w:cs="Times New Roman" w:eastAsia="Times New Roman" w:hAnsi="Times New Roman"/>
          <w:b w:val="false"/>
          <w:bCs w:val="false"/>
          <w:i/>
          <w:iCs/>
          <w:sz w:val="20"/>
          <w:szCs w:val="20"/>
        </w:rPr>
        <w:t xml:space="preserve">B. Granular custody. </w:t>
      </w:r>
      <w:r>
        <w:rPr>
          <w:rFonts w:ascii="Times New Roman" w:cs="Times New Roman" w:eastAsia="Times New Roman" w:hAnsi="Times New Roman"/>
          <w:sz w:val="20"/>
          <w:szCs w:val="20"/>
        </w:rPr>
        <w:t xml:space="preserve">A custody table records the current holder and every transition. Valid transitions are declared explicitly (e.g., prescriber to patient on digital issuance; patient to dispenser on presentation at the counter; dispenser to patient on return). Custody may be recorded for an entire object or for an individual item.</w:t>
      </w:r>
    </w:p>
    <w:p>
      <w:pPr>
        <w:spacing w:after="60" w:line="240"/>
        <w:ind w:firstLine="200"/>
        <w:jc w:val="both"/>
      </w:pPr>
      <w:r>
        <w:rPr>
          <w:rFonts w:ascii="Times New Roman" w:cs="Times New Roman" w:eastAsia="Times New Roman" w:hAnsi="Times New Roman"/>
          <w:b w:val="false"/>
          <w:bCs w:val="false"/>
          <w:i/>
          <w:iCs/>
          <w:sz w:val="20"/>
          <w:szCs w:val="20"/>
        </w:rPr>
        <w:t xml:space="preserve">C. Finite state machine. </w:t>
      </w:r>
      <w:r>
        <w:rPr>
          <w:rFonts w:ascii="Times New Roman" w:cs="Times New Roman" w:eastAsia="Times New Roman" w:hAnsi="Times New Roman"/>
          <w:sz w:val="20"/>
          <w:szCs w:val="20"/>
        </w:rPr>
        <w:t xml:space="preserve">Allowed states and transitions are declared in a single domain module that serves as the source of truth, mirrored in the database schema. Digital states (pending, transferred-to-patient, in-custody, partially-dispensed, dispensed, cancelled) are separated from the physical terminal state used for paper-only issuance.</w:t>
      </w:r>
    </w:p>
    <w:p>
      <w:pPr>
        <w:spacing w:after="60" w:line="240"/>
        <w:ind w:firstLine="200"/>
        <w:jc w:val="both"/>
      </w:pPr>
      <w:r>
        <w:rPr>
          <w:rFonts w:ascii="Times New Roman" w:cs="Times New Roman" w:eastAsia="Times New Roman" w:hAnsi="Times New Roman"/>
          <w:b w:val="false"/>
          <w:bCs w:val="false"/>
          <w:i/>
          <w:iCs/>
          <w:sz w:val="20"/>
          <w:szCs w:val="20"/>
        </w:rPr>
        <w:t xml:space="preserve">D. Canonical document and integrity. </w:t>
      </w:r>
      <w:r>
        <w:rPr>
          <w:rFonts w:ascii="Times New Roman" w:cs="Times New Roman" w:eastAsia="Times New Roman" w:hAnsi="Times New Roman"/>
          <w:sz w:val="20"/>
          <w:szCs w:val="20"/>
        </w:rPr>
        <w:t xml:space="preserve">A dedicated module produces the canonical serialization and its SHA-256 digest. The digest is stored with the object and exposed through a document-integrity endpoint, allowing any holder to verify that the content has not changed—and is the intended input to ICP-Brasil PAdES signing.</w:t>
      </w:r>
    </w:p>
    <w:p>
      <w:pPr>
        <w:spacing w:after="60" w:line="240"/>
        <w:ind w:firstLine="200"/>
        <w:jc w:val="both"/>
      </w:pPr>
      <w:r>
        <w:rPr>
          <w:rFonts w:ascii="Times New Roman" w:cs="Times New Roman" w:eastAsia="Times New Roman" w:hAnsi="Times New Roman"/>
          <w:b w:val="false"/>
          <w:bCs w:val="false"/>
          <w:i/>
          <w:iCs/>
          <w:sz w:val="20"/>
          <w:szCs w:val="20"/>
        </w:rPr>
        <w:t xml:space="preserve">E. Ownership, RBAC and public neutrality. </w:t>
      </w:r>
      <w:r>
        <w:rPr>
          <w:rFonts w:ascii="Times New Roman" w:cs="Times New Roman" w:eastAsia="Times New Roman" w:hAnsi="Times New Roman"/>
          <w:sz w:val="20"/>
          <w:szCs w:val="20"/>
        </w:rPr>
        <w:t xml:space="preserve">Every private endpoint enforces role-based access control and an inline identity assertion, so that ownership is checked at creation and at each subsequent act. Public endpoints expose only non-clinical confirmation data [11].</w:t>
      </w:r>
    </w:p>
    <w:p>
      <w:pPr>
        <w:spacing w:after="60" w:line="240"/>
        <w:ind w:firstLine="200"/>
        <w:jc w:val="both"/>
      </w:pPr>
      <w:r>
        <w:rPr>
          <w:rFonts w:ascii="Times New Roman" w:cs="Times New Roman" w:eastAsia="Times New Roman" w:hAnsi="Times New Roman"/>
          <w:b w:val="false"/>
          <w:bCs w:val="false"/>
          <w:i/>
          <w:iCs/>
          <w:sz w:val="20"/>
          <w:szCs w:val="20"/>
        </w:rPr>
        <w:t xml:space="preserve">F. Institutional scope. </w:t>
      </w:r>
      <w:r>
        <w:rPr>
          <w:rFonts w:ascii="Times New Roman" w:cs="Times New Roman" w:eastAsia="Times New Roman" w:hAnsi="Times New Roman"/>
          <w:sz w:val="20"/>
          <w:szCs w:val="20"/>
        </w:rPr>
        <w:t xml:space="preserve">Operation is made contextual through optional organization and unit identifiers. The clinical object remains global and neutral—identified by its protocol—while these identifiers act as query scope, access filter and operational context, never as the primary key. A NULL value denotes the absence of an institutional link (not a sentinel), and the fields are rolled out incrementally, only when a real use case requires them. Where an organization identifier is present, queries in an institutional context must include it as a filter, enforced as an architectural guardrail.</w:t>
      </w:r>
    </w:p>
    <w:p>
      <w:pPr>
        <w:spacing w:after="80" w:before="160"/>
        <w:jc w:val="center"/>
      </w:pPr>
      <w:r>
        <w:rPr>
          <w:rFonts w:ascii="Times New Roman" w:cs="Times New Roman" w:eastAsia="Times New Roman" w:hAnsi="Times New Roman"/>
          <w:smallCaps/>
          <w:sz w:val="20"/>
          <w:szCs w:val="20"/>
        </w:rPr>
        <w:t xml:space="preserve">V.  Generalization of the Core</w:t>
      </w:r>
    </w:p>
    <w:p>
      <w:pPr>
        <w:spacing w:after="60" w:line="240"/>
        <w:ind w:firstLine="200"/>
        <w:jc w:val="both"/>
      </w:pPr>
      <w:r>
        <w:rPr>
          <w:rFonts w:ascii="Times New Roman" w:cs="Times New Roman" w:eastAsia="Times New Roman" w:hAnsi="Times New Roman"/>
          <w:sz w:val="20"/>
          <w:szCs w:val="20"/>
        </w:rPr>
        <w:t xml:space="preserve">The pattern is a </w:t>
      </w:r>
      <w:r>
        <w:rPr>
          <w:rFonts w:ascii="Times New Roman" w:cs="Times New Roman" w:eastAsia="Times New Roman" w:hAnsi="Times New Roman"/>
          <w:i/>
          <w:iCs/>
          <w:sz w:val="20"/>
          <w:szCs w:val="20"/>
        </w:rPr>
        <w:t xml:space="preserve">core</w:t>
      </w:r>
      <w:r>
        <w:rPr>
          <w:rFonts w:ascii="Times New Roman" w:cs="Times New Roman" w:eastAsia="Times New Roman" w:hAnsi="Times New Roman"/>
          <w:sz w:val="20"/>
          <w:szCs w:val="20"/>
        </w:rPr>
        <w:t xml:space="preserve">, not an exception: the same seven properties instantiate multiple clinical objects (Table I).</w:t>
      </w:r>
    </w:p>
    <w:p>
      <w:pPr>
        <w:sectPr>
          <w:type w:val="continuous"/>
          <w:pgSz w:w="12240" w:h="15840" w:orient="portrait"/>
          <w:pgMar w:top="1080" w:right="900" w:bottom="1440" w:left="900" w:header="708" w:footer="708" w:gutter="0"/>
          <w:pgNumType/>
          <w:cols w:space="360" w:num="2" w:equalWidth="true"/>
          <w:docGrid w:linePitch="360"/>
        </w:sectPr>
      </w:pPr>
    </w:p>
    <w:p>
      <w:pPr>
        <w:spacing w:after="40" w:before="80"/>
        <w:jc w:val="center"/>
      </w:pPr>
      <w:r>
        <w:rPr>
          <w:rFonts w:ascii="Times New Roman" w:cs="Times New Roman" w:eastAsia="Times New Roman" w:hAnsi="Times New Roman"/>
          <w:b/>
          <w:bCs/>
          <w:sz w:val="18"/>
          <w:szCs w:val="18"/>
        </w:rPr>
        <w:t xml:space="preserve">TABLE I.  Instances of the traceable-sanitary-object core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2300"/>
        <w:gridCol w:w="2440"/>
      </w:tblGrid>
      <w:tr>
        <w:trPr>
          <w:tblHeader/>
        </w:trPr>
        <w:tc>
          <w:tcPr>
            <w:tcW w:type="dxa" w:w="15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Object</w:t>
            </w:r>
          </w:p>
        </w:tc>
        <w:tc>
          <w:tcPr>
            <w:tcW w:type="dxa" w:w="42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Typical states (digital flow)</w:t>
            </w:r>
          </w:p>
        </w:tc>
        <w:tc>
          <w:tcPr>
            <w:tcW w:type="dxa" w:w="23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Terminal states</w:t>
            </w:r>
          </w:p>
        </w:tc>
        <w:tc>
          <w:tcPr>
            <w:tcW w:type="dxa" w:w="244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6"/>
                <w:szCs w:val="16"/>
              </w:rPr>
              <w:t xml:space="preserve">Custody chain</w:t>
            </w:r>
          </w:p>
        </w:tc>
      </w:tr>
      <w:tr>
        <w:trPr>
          <w:tblHeader w:val="false"/>
        </w:trPr>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Prescription</w:t>
            </w:r>
          </w:p>
        </w:tc>
        <w:tc>
          <w:tcPr>
            <w:tcW w:type="dxa" w:w="42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pending → transferred-to-patient → in-custody → partially-dispensed → dispensed</w:t>
            </w:r>
          </w:p>
        </w:tc>
        <w:tc>
          <w:tcPr>
            <w:tcW w:type="dxa" w:w="23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dispensed; cancelled; expired; locally-closed (physical)</w:t>
            </w:r>
          </w:p>
        </w:tc>
        <w:tc>
          <w:tcPr>
            <w:tcW w:type="dxa" w:w="244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prescriber → patient → dispenser → (patient | prescriber)</w:t>
            </w:r>
          </w:p>
        </w:tc>
      </w:tr>
      <w:tr>
        <w:trPr>
          <w:tblHeader w:val="false"/>
        </w:trPr>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Lab order</w:t>
            </w:r>
          </w:p>
        </w:tc>
        <w:tc>
          <w:tcPr>
            <w:tcW w:type="dxa" w:w="42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issued → scheduled → collected → under-analysis → result-available → closed</w:t>
            </w:r>
          </w:p>
        </w:tc>
        <w:tc>
          <w:tcPr>
            <w:tcW w:type="dxa" w:w="23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closed; cancelled; expired; physically-closed</w:t>
            </w:r>
          </w:p>
        </w:tc>
        <w:tc>
          <w:tcPr>
            <w:tcW w:type="dxa" w:w="244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prescriber → patient → lab provider → patient</w:t>
            </w:r>
          </w:p>
        </w:tc>
      </w:tr>
      <w:tr>
        <w:trPr>
          <w:tblHeader w:val="false"/>
        </w:trPr>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Report</w:t>
            </w:r>
          </w:p>
        </w:tc>
        <w:tc>
          <w:tcPr>
            <w:tcW w:type="dxa" w:w="42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in-production → signed → released → acknowledged (patient/prescriber) → closed</w:t>
            </w:r>
          </w:p>
        </w:tc>
        <w:tc>
          <w:tcPr>
            <w:tcW w:type="dxa" w:w="23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closed; cancelled; expired; physically-closed</w:t>
            </w:r>
          </w:p>
        </w:tc>
        <w:tc>
          <w:tcPr>
            <w:tcW w:type="dxa" w:w="244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lab provider → (patient | prescriber)</w:t>
            </w:r>
          </w:p>
        </w:tc>
      </w:tr>
      <w:tr>
        <w:trPr>
          <w:tblHeader w:val="false"/>
        </w:trPr>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Appointment</w:t>
            </w:r>
          </w:p>
        </w:tc>
        <w:tc>
          <w:tcPr>
            <w:tcW w:type="dxa" w:w="42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created → confirmed → carried-out</w:t>
            </w:r>
          </w:p>
        </w:tc>
        <w:tc>
          <w:tcPr>
            <w:tcW w:type="dxa" w:w="23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carried-out; cancelled; no-show</w:t>
            </w:r>
          </w:p>
        </w:tc>
        <w:tc>
          <w:tcPr>
            <w:tcW w:type="dxa" w:w="244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none (bilateral commitment; documented exception)</w:t>
            </w:r>
          </w:p>
        </w:tc>
      </w:tr>
      <w:tr>
        <w:trPr>
          <w:tblHeader w:val="false"/>
        </w:trPr>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Diagnostic circulation</w:t>
            </w:r>
          </w:p>
        </w:tc>
        <w:tc>
          <w:tcPr>
            <w:tcW w:type="dxa" w:w="42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selected → sent-to-lab → proposal-received → patient-confirmed → performed</w:t>
            </w:r>
          </w:p>
        </w:tc>
        <w:tc>
          <w:tcPr>
            <w:tcW w:type="dxa" w:w="23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performed; patient-unmarked; lab-unmarked; lab-archived; expired</w:t>
            </w:r>
          </w:p>
        </w:tc>
        <w:tc>
          <w:tcPr>
            <w:tcW w:type="dxa" w:w="244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patient → lab (token-mediated)</w:t>
            </w:r>
          </w:p>
        </w:tc>
      </w:tr>
      <w:tr>
        <w:trPr>
          <w:tblHeader w:val="false"/>
        </w:trPr>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Referral</w:t>
            </w:r>
          </w:p>
        </w:tc>
        <w:tc>
          <w:tcPr>
            <w:tcW w:type="dxa" w:w="42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issued → (under-regulation) → scheduled → attended → counter-referred → closed</w:t>
            </w:r>
          </w:p>
        </w:tc>
        <w:tc>
          <w:tcPr>
            <w:tcW w:type="dxa" w:w="23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closed; cancelled; expired; denied; physically-closed</w:t>
            </w:r>
          </w:p>
        </w:tc>
        <w:tc>
          <w:tcPr>
            <w:tcW w:type="dxa" w:w="244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prescriber (origin) → patient → prescriber (destination) → patient</w:t>
            </w:r>
          </w:p>
        </w:tc>
      </w:tr>
      <w:tr>
        <w:trPr>
          <w:tblHeader w:val="false"/>
        </w:trPr>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Counter-referral (derived)</w:t>
            </w:r>
          </w:p>
        </w:tc>
        <w:tc>
          <w:tcPr>
            <w:tcW w:type="dxa" w:w="42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registered</w:t>
            </w:r>
          </w:p>
        </w:tc>
        <w:tc>
          <w:tcPr>
            <w:tcW w:type="dxa" w:w="23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cancelled</w:t>
            </w:r>
          </w:p>
        </w:tc>
        <w:tc>
          <w:tcPr>
            <w:tcW w:type="dxa" w:w="244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6"/>
                <w:szCs w:val="16"/>
              </w:rPr>
              <w:t xml:space="preserve">destination → origin (origin-referral reference)</w:t>
            </w:r>
          </w:p>
        </w:tc>
      </w:tr>
    </w:tbl>
    <w:p>
      <w:pPr>
        <w:spacing w:after="60"/>
      </w:pPr>
      <w:r>
        <w:rPr>
          <w:sz w:val="8"/>
          <w:szCs w:val="8"/>
        </w:rPr>
        <w:t xml:space="preserve"/>
      </w:r>
    </w:p>
    <w:p>
      <w:pPr>
        <w:sectPr>
          <w:type w:val="continuous"/>
          <w:pgSz w:w="12240" w:h="15840" w:orient="portrait"/>
          <w:pgMar w:top="1080" w:right="900" w:bottom="1440" w:left="900" w:header="708" w:footer="708" w:gutter="0"/>
          <w:pgNumType/>
          <w:cols w:space="360" w:num="1"/>
          <w:docGrid w:linePitch="360"/>
        </w:sectPr>
      </w:pPr>
    </w:p>
    <w:p>
      <w:pPr>
        <w:spacing w:after="60" w:line="240"/>
        <w:ind w:firstLine="200"/>
        <w:jc w:val="both"/>
      </w:pPr>
      <w:r>
        <w:rPr>
          <w:rFonts w:ascii="Times New Roman" w:cs="Times New Roman" w:eastAsia="Times New Roman" w:hAnsi="Times New Roman"/>
          <w:i/>
          <w:iCs/>
          <w:sz w:val="20"/>
          <w:szCs w:val="20"/>
        </w:rPr>
        <w:t xml:space="preserve">Dispensing</w:t>
      </w:r>
      <w:r>
        <w:rPr>
          <w:rFonts w:ascii="Times New Roman" w:cs="Times New Roman" w:eastAsia="Times New Roman" w:hAnsi="Times New Roman"/>
          <w:sz w:val="20"/>
          <w:szCs w:val="20"/>
        </w:rPr>
        <w:t xml:space="preserve"> is not a standalone object but an act within the prescription flow, governed by the invariant “sum of dispensed quantities does not exceed the prescribed quantity”; its hospital variant follows prescriber → hospital pharmacy → (nursing unit) → patient.</w:t>
      </w:r>
    </w:p>
    <w:p>
      <w:pPr>
        <w:spacing w:after="40" w:before="100"/>
        <w:jc w:val="center"/>
      </w:pPr>
      <w:r>
        <w:rPr>
          <w:sz w:val="8"/>
          <w:szCs w:val="8"/>
        </w:rPr>
        <w:t xml:space="preserve"/>
      </w:r>
    </w:p>
    <w:tbl>
      <w:tblPr>
        <w:tblW w:type="dxa" w:w="4900"/>
        <w:tblBorders>
          <w:top w:val="single" w:color="auto" w:sz="4"/>
          <w:left w:val="single" w:color="auto" w:sz="4"/>
          <w:bottom w:val="single" w:color="auto" w:sz="4"/>
          <w:right w:val="single" w:color="auto" w:sz="4"/>
          <w:insideH w:val="single" w:color="auto" w:sz="4"/>
          <w:insideV w:val="single" w:color="auto" w:sz="4"/>
        </w:tblBorders>
      </w:tblPr>
      <w:tblGrid>
        <w:gridCol w:w="4900"/>
      </w:tblGrid>
      <w:tr>
        <w:tc>
          <w:tcPr>
            <w:tcW w:type="dxa" w:w="4900"/>
            <w:tcBorders>
              <w:top w:val="single" w:color="AAAAAA" w:sz="4"/>
              <w:left w:val="single" w:color="AAAAAA" w:sz="4"/>
              <w:bottom w:val="single" w:color="AAAAAA" w:sz="4"/>
              <w:right w:val="single" w:color="AAAAAA" w:sz="4"/>
            </w:tcBorders>
            <w:tcMar>
              <w:top w:type="dxa" w:w="360"/>
              <w:left w:type="dxa" w:w="120"/>
              <w:bottom w:type="dxa" w:w="360"/>
              <w:right w:type="dxa" w:w="120"/>
            </w:tcMar>
          </w:tcPr>
          <w:p>
            <w:pPr>
              <w:spacing w:after="0"/>
              <w:jc w:val="center"/>
            </w:pPr>
            <w:r>
              <w:rPr>
                <w:rFonts w:ascii="Times New Roman" w:cs="Times New Roman" w:eastAsia="Times New Roman" w:hAnsi="Times New Roman"/>
                <w:b/>
                <w:bCs/>
                <w:color w:val="C00000"/>
                <w:sz w:val="20"/>
                <w:szCs w:val="20"/>
              </w:rPr>
              <w:t xml:space="preserve">render from Mermaid → place PNG here</w:t>
            </w:r>
          </w:p>
        </w:tc>
      </w:tr>
    </w:tbl>
    <w:p>
      <w:pPr>
        <w:spacing w:after="120" w:before="40"/>
        <w:jc w:val="center"/>
      </w:pPr>
      <w:r>
        <w:rPr>
          <w:rFonts w:ascii="Times New Roman" w:cs="Times New Roman" w:eastAsia="Times New Roman" w:hAnsi="Times New Roman"/>
          <w:sz w:val="18"/>
          <w:szCs w:val="18"/>
        </w:rPr>
        <w:t xml:space="preserve">Fig. 3. Custody chain and derivation lineage.</w:t>
      </w:r>
    </w:p>
    <w:p>
      <w:pPr>
        <w:spacing w:after="60" w:line="240"/>
        <w:ind w:firstLine="200"/>
        <w:jc w:val="both"/>
      </w:pPr>
      <w:r>
        <w:rPr>
          <w:rFonts w:ascii="Times New Roman" w:cs="Times New Roman" w:eastAsia="Times New Roman" w:hAnsi="Times New Roman"/>
          <w:b/>
          <w:bCs/>
          <w:i w:val="false"/>
          <w:iCs w:val="false"/>
          <w:sz w:val="20"/>
          <w:szCs w:val="20"/>
        </w:rPr>
        <w:t xml:space="preserve">Derived objects. </w:t>
      </w:r>
      <w:r>
        <w:rPr>
          <w:rFonts w:ascii="Times New Roman" w:cs="Times New Roman" w:eastAsia="Times New Roman" w:hAnsi="Times New Roman"/>
          <w:sz w:val="20"/>
          <w:szCs w:val="20"/>
        </w:rPr>
        <w:t xml:space="preserve">Derivation generalizes beyond corrections and renewals. A report is a derived object of a lab order, and a counter-referral is a derived object of a referral: each derivation has a distinct author, its own canonical document and hash, and a referential link to its origin. The lineage chain thus spans not only versions of one artifact but causally related artifacts across the care pathway.</w:t>
      </w:r>
    </w:p>
    <w:p>
      <w:pPr>
        <w:spacing w:after="60" w:line="240"/>
        <w:ind w:firstLine="200"/>
        <w:jc w:val="both"/>
      </w:pPr>
      <w:r>
        <w:rPr>
          <w:rFonts w:ascii="Times New Roman" w:cs="Times New Roman" w:eastAsia="Times New Roman" w:hAnsi="Times New Roman"/>
          <w:b/>
          <w:bCs/>
          <w:i w:val="false"/>
          <w:iCs w:val="false"/>
          <w:sz w:val="20"/>
          <w:szCs w:val="20"/>
        </w:rPr>
        <w:t xml:space="preserve">Documented exceptions. </w:t>
      </w:r>
      <w:r>
        <w:rPr>
          <w:rFonts w:ascii="Times New Roman" w:cs="Times New Roman" w:eastAsia="Times New Roman" w:hAnsi="Times New Roman"/>
          <w:sz w:val="20"/>
          <w:szCs w:val="20"/>
        </w:rPr>
        <w:t xml:space="preserve">Some objects intentionally relax one property, and recording the exception is part of the discipline. Appointments are lightweight objects with identity, states and a ledger but no custody chain, because they represent a bilateral commitment rather than a held artifact. Acknowledgement of a report operates at the level of the whole report rather than per item. Diagnostic circulation authorizes the act through a presentation token rather than a custody transfer. Naming these exceptions explicitly is what keeps the core coherent.</w:t>
      </w:r>
    </w:p>
    <w:p>
      <w:pPr>
        <w:spacing w:after="80" w:before="160"/>
        <w:jc w:val="center"/>
      </w:pPr>
      <w:r>
        <w:rPr>
          <w:rFonts w:ascii="Times New Roman" w:cs="Times New Roman" w:eastAsia="Times New Roman" w:hAnsi="Times New Roman"/>
          <w:smallCaps/>
          <w:sz w:val="20"/>
          <w:szCs w:val="20"/>
        </w:rPr>
        <w:t xml:space="preserve">VI.  Implementation and Guarantees</w:t>
      </w:r>
    </w:p>
    <w:p>
      <w:pPr>
        <w:spacing w:after="60" w:line="240"/>
        <w:ind w:firstLine="200"/>
        <w:jc w:val="both"/>
      </w:pPr>
      <w:r>
        <w:rPr>
          <w:rFonts w:ascii="Times New Roman" w:cs="Times New Roman" w:eastAsia="Times New Roman" w:hAnsi="Times New Roman"/>
          <w:b/>
          <w:bCs/>
          <w:i w:val="false"/>
          <w:iCs w:val="false"/>
          <w:sz w:val="20"/>
          <w:szCs w:val="20"/>
        </w:rPr>
        <w:t xml:space="preserve">Stack and scale. </w:t>
      </w:r>
      <w:r>
        <w:rPr>
          <w:rFonts w:ascii="Times New Roman" w:cs="Times New Roman" w:eastAsia="Times New Roman" w:hAnsi="Times New Roman"/>
          <w:sz w:val="20"/>
          <w:szCs w:val="20"/>
        </w:rPr>
        <w:t xml:space="preserve">The reference implementation uses Python with FastAPI for the API layer and a relational store that runs on PostgreSQL in production and SQLite in development under a single Alembic-managed schema. It comprises roughly 31,700 lines of application code across 32 routers and 43 ORM models, exposing 137 endpoints over 15 schema migrations. Seven sanitary-object families each carry their own finite state machine; across object- and item-level machines they declare 82 states and 99 valid transitions in single source-of-truth modules, and a unified ledger helper records the controlled event vocabulary for all subdomains. Seven of these families maintain their own append-only event ledger (alongside an internal publication outbox) and five maintain explicit custody chains. The test suite comprises 1,341 test functions across 73 files; a continuous-integration gate—the unit suite together with a selected integration subset executed against an ephemeral PostgreSQL instance—runs on every change and gates merges.</w:t>
      </w:r>
    </w:p>
    <w:p>
      <w:pPr>
        <w:spacing w:after="60" w:line="240"/>
        <w:ind w:firstLine="200"/>
        <w:jc w:val="both"/>
      </w:pPr>
      <w:r>
        <w:rPr>
          <w:rFonts w:ascii="Times New Roman" w:cs="Times New Roman" w:eastAsia="Times New Roman" w:hAnsi="Times New Roman"/>
          <w:b/>
          <w:bCs/>
          <w:i w:val="false"/>
          <w:iCs w:val="false"/>
          <w:sz w:val="20"/>
          <w:szCs w:val="20"/>
        </w:rPr>
        <w:t xml:space="preserve">Dual-database test gate. </w:t>
      </w:r>
      <w:r>
        <w:rPr>
          <w:rFonts w:ascii="Times New Roman" w:cs="Times New Roman" w:eastAsia="Times New Roman" w:hAnsi="Times New Roman"/>
          <w:sz w:val="20"/>
          <w:szCs w:val="20"/>
        </w:rPr>
        <w:t xml:space="preserve">A dual-database gate executes the suite against an ephemeral PostgreSQL instance in addition to SQLite. This is not redundant: SQLite's permissive typing (e.g., accepting an integer literal for a boolean column, or lax NULL handling) silently masks defects that surface only under PostgreSQL's strict typing. In our development this gate repeatedly caught latent defects invisible on SQLite—for instance, a boolean column written with an integer literal passed every SQLite test yet raised a type-mismatch error on PostgreSQL, meaning a code path that appeared fully tested was in fact broken under production-equivalent conditions. The methodological claim is narrow but practical: for dual-database clinical systems, the production database must be inside the test gate—a green bar on the development database is necessary but not sufficient.</w:t>
      </w:r>
    </w:p>
    <w:p>
      <w:pPr>
        <w:spacing w:after="60" w:line="240"/>
        <w:ind w:firstLine="200"/>
        <w:jc w:val="both"/>
      </w:pPr>
      <w:r>
        <w:rPr>
          <w:rFonts w:ascii="Times New Roman" w:cs="Times New Roman" w:eastAsia="Times New Roman" w:hAnsi="Times New Roman"/>
          <w:b/>
          <w:bCs/>
          <w:i w:val="false"/>
          <w:iCs w:val="false"/>
          <w:sz w:val="20"/>
          <w:szCs w:val="20"/>
        </w:rPr>
        <w:t xml:space="preserve">Guarantees from the model. </w:t>
      </w:r>
      <w:r>
        <w:rPr>
          <w:rFonts w:ascii="Times New Roman" w:cs="Times New Roman" w:eastAsia="Times New Roman" w:hAnsi="Times New Roman"/>
          <w:sz w:val="20"/>
          <w:szCs w:val="20"/>
        </w:rPr>
        <w:t xml:space="preserve">Several safety properties follow directly from the pattern rather than from ad-hoc checks. Partial dispensing cannot exceed the prescription because the sum of dispensed quantities for an item is constrained to not exceed the prescribed quantity; an item that cannot be paid for simply returns to a pending state and remains dispensable elsewhere, without cancelling the prescription. Immutability together with the append-only ledger yields a non-repudiable audit trail: history is never overwritten, only extended. Terminal-state semantics are kept distinct, so a clinical cancellation is never conflated with a paper-only closure. Access control is enforced from creation, and public endpoints are neutral by construction, so verification never discloses clinical content. Table II maps each guarantee to the mechanism that enforces it and a representative test from the suite that exercises it.</w:t>
      </w:r>
    </w:p>
    <w:p>
      <w:pPr>
        <w:spacing w:after="40" w:before="80"/>
        <w:jc w:val="center"/>
      </w:pPr>
      <w:r>
        <w:rPr>
          <w:rFonts w:ascii="Times New Roman" w:cs="Times New Roman" w:eastAsia="Times New Roman" w:hAnsi="Times New Roman"/>
          <w:b/>
          <w:bCs/>
          <w:sz w:val="18"/>
          <w:szCs w:val="18"/>
        </w:rPr>
        <w:t xml:space="preserve">TABLE II.  Model guarantees, enforcing mechanism, and a representative test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640"/>
      </w:tblGrid>
      <w:tr>
        <w:trPr>
          <w:tblHeader/>
        </w:trPr>
        <w:tc>
          <w:tcPr>
            <w:tcW w:type="dxa" w:w="15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4"/>
                <w:szCs w:val="14"/>
              </w:rPr>
              <w:t xml:space="preserve">Guarantee</w:t>
            </w:r>
          </w:p>
        </w:tc>
        <w:tc>
          <w:tcPr>
            <w:tcW w:type="dxa" w:w="190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4"/>
                <w:szCs w:val="14"/>
              </w:rPr>
              <w:t xml:space="preserve">Enforcing mechanism</w:t>
            </w:r>
          </w:p>
        </w:tc>
        <w:tc>
          <w:tcPr>
            <w:tcW w:type="dxa" w:w="1640"/>
            <w:tcBorders>
              <w:top w:val="single" w:color="000000" w:sz="2"/>
              <w:left w:val="single" w:color="000000" w:sz="2"/>
              <w:bottom w:val="single" w:color="000000" w:sz="2"/>
              <w:right w:val="single" w:color="000000" w:sz="2"/>
            </w:tcBorders>
            <w:shd w:fill="EFEFEF" w:val="clear"/>
            <w:tcMar>
              <w:top w:type="dxa" w:w="40"/>
              <w:left w:type="dxa" w:w="80"/>
              <w:bottom w:type="dxa" w:w="40"/>
              <w:right w:type="dxa" w:w="80"/>
            </w:tcMar>
          </w:tcPr>
          <w:p>
            <w:pPr>
              <w:spacing w:after="0" w:line="220"/>
              <w:jc w:val="center"/>
            </w:pPr>
            <w:r>
              <w:rPr>
                <w:rFonts w:ascii="Times New Roman" w:cs="Times New Roman" w:eastAsia="Times New Roman" w:hAnsi="Times New Roman"/>
                <w:b/>
                <w:bCs/>
                <w:sz w:val="14"/>
                <w:szCs w:val="14"/>
              </w:rPr>
              <w:t xml:space="preserve">Representative test</w:t>
            </w:r>
          </w:p>
        </w:tc>
      </w:tr>
      <w:tr>
        <w:trPr>
          <w:tblHeader w:val="false"/>
        </w:trPr>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4"/>
                <w:szCs w:val="14"/>
              </w:rPr>
              <w:t xml:space="preserve">Dispensed ≤ prescribed</w:t>
            </w:r>
          </w:p>
        </w:tc>
        <w:tc>
          <w:tcPr>
            <w:tcW w:type="dxa" w:w="19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4"/>
                <w:szCs w:val="14"/>
              </w:rPr>
              <w:t xml:space="preserve">per-item balance check before insert</w:t>
            </w:r>
          </w:p>
        </w:tc>
        <w:tc>
          <w:tcPr>
            <w:tcW w:type="dxa" w:w="164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4"/>
                <w:szCs w:val="14"/>
              </w:rPr>
              <w:t xml:space="preserve">test_supera_saldo (HTTP 422)</w:t>
            </w:r>
          </w:p>
        </w:tc>
      </w:tr>
      <w:tr>
        <w:trPr>
          <w:tblHeader w:val="false"/>
        </w:trPr>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4"/>
                <w:szCs w:val="14"/>
              </w:rPr>
              <w:t xml:space="preserve">Append-only audit trail</w:t>
            </w:r>
          </w:p>
        </w:tc>
        <w:tc>
          <w:tcPr>
            <w:tcW w:type="dxa" w:w="19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4"/>
                <w:szCs w:val="14"/>
              </w:rPr>
              <w:t xml:space="preserve">insert-only event ledger (no update/delete)</w:t>
            </w:r>
          </w:p>
        </w:tc>
        <w:tc>
          <w:tcPr>
            <w:tcW w:type="dxa" w:w="164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4"/>
                <w:szCs w:val="14"/>
              </w:rPr>
              <w:t xml:space="preserve">test_retorna_eventos_inseridos</w:t>
            </w:r>
          </w:p>
        </w:tc>
      </w:tr>
      <w:tr>
        <w:trPr>
          <w:tblHeader w:val="false"/>
        </w:trPr>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4"/>
                <w:szCs w:val="14"/>
              </w:rPr>
              <w:t xml:space="preserve">Immutability with lineage</w:t>
            </w:r>
          </w:p>
        </w:tc>
        <w:tc>
          <w:tcPr>
            <w:tcW w:type="dxa" w:w="19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4"/>
                <w:szCs w:val="14"/>
              </w:rPr>
              <w:t xml:space="preserve">correction issues a new derived object</w:t>
            </w:r>
          </w:p>
        </w:tc>
        <w:tc>
          <w:tcPr>
            <w:tcW w:type="dxa" w:w="164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4"/>
                <w:szCs w:val="14"/>
              </w:rPr>
              <w:t xml:space="preserve">test_correcao_aceita_novos_campos</w:t>
            </w:r>
          </w:p>
        </w:tc>
      </w:tr>
      <w:tr>
        <w:trPr>
          <w:tblHeader w:val="false"/>
        </w:trPr>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4"/>
                <w:szCs w:val="14"/>
              </w:rPr>
              <w:t xml:space="preserve">Valid transitions only</w:t>
            </w:r>
          </w:p>
        </w:tc>
        <w:tc>
          <w:tcPr>
            <w:tcW w:type="dxa" w:w="19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4"/>
                <w:szCs w:val="14"/>
              </w:rPr>
              <w:t xml:space="preserve">single source-of-truth transition tables</w:t>
            </w:r>
          </w:p>
        </w:tc>
        <w:tc>
          <w:tcPr>
            <w:tcW w:type="dxa" w:w="164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4"/>
                <w:szCs w:val="14"/>
              </w:rPr>
              <w:t xml:space="preserve">test_transicao_invalida (HTTP 409)</w:t>
            </w:r>
          </w:p>
        </w:tc>
      </w:tr>
      <w:tr>
        <w:trPr>
          <w:tblHeader w:val="false"/>
        </w:trPr>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4"/>
                <w:szCs w:val="14"/>
              </w:rPr>
              <w:t xml:space="preserve">Ownership from creation</w:t>
            </w:r>
          </w:p>
        </w:tc>
        <w:tc>
          <w:tcPr>
            <w:tcW w:type="dxa" w:w="19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4"/>
                <w:szCs w:val="14"/>
              </w:rPr>
              <w:t xml:space="preserve">inline RBAC + identity assertion</w:t>
            </w:r>
          </w:p>
        </w:tc>
        <w:tc>
          <w:tcPr>
            <w:tcW w:type="dxa" w:w="164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4"/>
                <w:szCs w:val="14"/>
              </w:rPr>
              <w:t xml:space="preserve">test_dispensador_sem_custodia (HTTP 403)</w:t>
            </w:r>
          </w:p>
        </w:tc>
      </w:tr>
      <w:tr>
        <w:trPr>
          <w:tblHeader w:val="false"/>
        </w:trPr>
        <w:tc>
          <w:tcPr>
            <w:tcW w:type="dxa" w:w="15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4"/>
                <w:szCs w:val="14"/>
              </w:rPr>
              <w:t xml:space="preserve">Public neutrality</w:t>
            </w:r>
          </w:p>
        </w:tc>
        <w:tc>
          <w:tcPr>
            <w:tcW w:type="dxa" w:w="190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4"/>
                <w:szCs w:val="14"/>
              </w:rPr>
              <w:t xml:space="preserve">public endpoint projects no clinical field</w:t>
            </w:r>
          </w:p>
        </w:tc>
        <w:tc>
          <w:tcPr>
            <w:tcW w:type="dxa" w:w="1640"/>
            <w:tcBorders>
              <w:top w:val="single" w:color="000000" w:sz="2"/>
              <w:left w:val="single" w:color="000000" w:sz="2"/>
              <w:bottom w:val="single" w:color="000000" w:sz="2"/>
              <w:right w:val="single" w:color="000000" w:sz="2"/>
            </w:tcBorders>
            <w:tcMar>
              <w:top w:type="dxa" w:w="40"/>
              <w:left w:type="dxa" w:w="80"/>
              <w:bottom w:type="dxa" w:w="40"/>
              <w:right w:type="dxa" w:w="80"/>
            </w:tcMar>
          </w:tcPr>
          <w:p>
            <w:pPr>
              <w:spacing w:after="0" w:line="220"/>
              <w:jc w:val="left"/>
            </w:pPr>
            <w:r>
              <w:rPr>
                <w:rFonts w:ascii="Times New Roman" w:cs="Times New Roman" w:eastAsia="Times New Roman" w:hAnsi="Times New Roman"/>
                <w:b w:val="false"/>
                <w:bCs w:val="false"/>
                <w:sz w:val="14"/>
                <w:szCs w:val="14"/>
              </w:rPr>
              <w:t xml:space="preserve">test_publico_neutro</w:t>
            </w:r>
          </w:p>
        </w:tc>
      </w:tr>
    </w:tbl>
    <w:p>
      <w:pPr>
        <w:spacing w:after="60"/>
      </w:pPr>
      <w:r>
        <w:rPr>
          <w:sz w:val="8"/>
          <w:szCs w:val="8"/>
        </w:rPr>
        <w:t xml:space="preserve"/>
      </w:r>
    </w:p>
    <w:p>
      <w:pPr>
        <w:spacing w:after="60" w:line="240"/>
        <w:ind w:firstLine="200"/>
        <w:jc w:val="both"/>
      </w:pPr>
      <w:r>
        <w:rPr>
          <w:rFonts w:ascii="Times New Roman" w:cs="Times New Roman" w:eastAsia="Times New Roman" w:hAnsi="Times New Roman"/>
          <w:b/>
          <w:bCs/>
          <w:i w:val="false"/>
          <w:iCs w:val="false"/>
          <w:sz w:val="20"/>
          <w:szCs w:val="20"/>
        </w:rPr>
        <w:t xml:space="preserve">Regulatory and licensing posture. </w:t>
      </w:r>
      <w:r>
        <w:rPr>
          <w:rFonts w:ascii="Times New Roman" w:cs="Times New Roman" w:eastAsia="Times New Roman" w:hAnsi="Times New Roman"/>
          <w:sz w:val="20"/>
          <w:szCs w:val="20"/>
        </w:rPr>
        <w:t xml:space="preserve">The design targets compliance with ANVISA RDC 1.000/2025—which governs the electronic prescription of medications under special control, emphasizing traceability, mandatory digital signature and integration with the National Controlled-Prescription System (SNCR), and which amends Ordinance SVS/MS 344/98—and with CFM 2.299/2021 [6], [12]. The reference implementation is released as open source under the AGPL, on the principle that infrastructure for a public health system should itself be public. The architecture is the subject of a Brazilian INPI filing (BR 51 2026 002267-3).</w:t>
      </w:r>
    </w:p>
    <w:p>
      <w:pPr>
        <w:spacing w:after="80" w:before="160"/>
        <w:jc w:val="center"/>
      </w:pPr>
      <w:r>
        <w:rPr>
          <w:rFonts w:ascii="Times New Roman" w:cs="Times New Roman" w:eastAsia="Times New Roman" w:hAnsi="Times New Roman"/>
          <w:smallCaps/>
          <w:sz w:val="20"/>
          <w:szCs w:val="20"/>
        </w:rPr>
        <w:t xml:space="preserve">VII.  Discussion, Limitations, and Ethics</w:t>
      </w:r>
    </w:p>
    <w:p>
      <w:pPr>
        <w:spacing w:after="60" w:line="240"/>
        <w:ind w:firstLine="200"/>
        <w:jc w:val="both"/>
      </w:pPr>
      <w:r>
        <w:rPr>
          <w:rFonts w:ascii="Times New Roman" w:cs="Times New Roman" w:eastAsia="Times New Roman" w:hAnsi="Times New Roman"/>
          <w:b/>
          <w:bCs/>
          <w:i w:val="false"/>
          <w:iCs w:val="false"/>
          <w:sz w:val="20"/>
          <w:szCs w:val="20"/>
        </w:rPr>
        <w:t xml:space="preserve">Trade-offs. </w:t>
      </w:r>
      <w:r>
        <w:rPr>
          <w:rFonts w:ascii="Times New Roman" w:cs="Times New Roman" w:eastAsia="Times New Roman" w:hAnsi="Times New Roman"/>
          <w:sz w:val="20"/>
          <w:szCs w:val="20"/>
        </w:rPr>
        <w:t xml:space="preserve">Physical (paper-only) issuance uses a fire-and-forget call: the front end prints without waiting for the back end to confirm persistence. This favors availability of the clinical act over guaranteed central registration—if the back end is offline, printing still succeeds and the record may remain only on the client. The trade-off is accepted and documented; full traceability requires the back end to be reachable. Similarly, a mathematically invalid sentinel identifier is reserved for unidentified patients in paper flows and must be excluded from analytics, and institutional scope is rolled out incrementally rather than imposed on every table at once.</w:t>
      </w:r>
    </w:p>
    <w:p>
      <w:pPr>
        <w:spacing w:after="60" w:line="240"/>
        <w:ind w:firstLine="200"/>
        <w:jc w:val="both"/>
      </w:pPr>
      <w:r>
        <w:rPr>
          <w:rFonts w:ascii="Times New Roman" w:cs="Times New Roman" w:eastAsia="Times New Roman" w:hAnsi="Times New Roman"/>
          <w:b/>
          <w:bCs/>
          <w:i w:val="false"/>
          <w:iCs w:val="false"/>
          <w:sz w:val="20"/>
          <w:szCs w:val="20"/>
        </w:rPr>
        <w:t xml:space="preserve">Ethics. </w:t>
      </w:r>
      <w:r>
        <w:rPr>
          <w:rFonts w:ascii="Times New Roman" w:cs="Times New Roman" w:eastAsia="Times New Roman" w:hAnsi="Times New Roman"/>
          <w:sz w:val="20"/>
          <w:szCs w:val="20"/>
        </w:rPr>
        <w:t xml:space="preserve">A non-negotiable non-goal of the project is that patient health data is never monetized. The aim is citizen sovereignty over health objects through auditable grants of access, never the sale of data. This principle is treated as a design constraint rather than a policy statement.</w:t>
      </w:r>
    </w:p>
    <w:p>
      <w:pPr>
        <w:spacing w:after="60" w:line="240"/>
        <w:ind w:firstLine="200"/>
        <w:jc w:val="both"/>
      </w:pPr>
      <w:r>
        <w:rPr>
          <w:rFonts w:ascii="Times New Roman" w:cs="Times New Roman" w:eastAsia="Times New Roman" w:hAnsi="Times New Roman"/>
          <w:b/>
          <w:bCs/>
          <w:i w:val="false"/>
          <w:iCs w:val="false"/>
          <w:sz w:val="20"/>
          <w:szCs w:val="20"/>
        </w:rPr>
        <w:t xml:space="preserve">Limitations. </w:t>
      </w:r>
      <w:r>
        <w:rPr>
          <w:rFonts w:ascii="Times New Roman" w:cs="Times New Roman" w:eastAsia="Times New Roman" w:hAnsi="Times New Roman"/>
          <w:sz w:val="20"/>
          <w:szCs w:val="20"/>
        </w:rPr>
        <w:t xml:space="preserve">This is a proof-of-concept and has not been deployed at clinical scale. ICP-Brasil signing is currently a stub: the canonical document and hash exist, but production-grade signing and verification are not yet integrated. The system is event-sourced internally but is not yet event-driven externally—there is no event-publishing layer, so external adapters (HIS, TISS, HL7, e-SUS) have no integration point yet. Several flows are MVP simplifications. Finally, the evaluation here is architectural; empirical validation in a real care setting remains future work.</w:t>
      </w:r>
    </w:p>
    <w:p>
      <w:pPr>
        <w:spacing w:after="80" w:before="160"/>
        <w:jc w:val="center"/>
      </w:pPr>
      <w:r>
        <w:rPr>
          <w:rFonts w:ascii="Times New Roman" w:cs="Times New Roman" w:eastAsia="Times New Roman" w:hAnsi="Times New Roman"/>
          <w:smallCaps/>
          <w:sz w:val="20"/>
          <w:szCs w:val="20"/>
        </w:rPr>
        <w:t xml:space="preserve">VIII.  Conclusion and Future Work</w:t>
      </w:r>
    </w:p>
    <w:p>
      <w:pPr>
        <w:spacing w:after="60" w:line="240"/>
        <w:ind w:firstLine="200"/>
        <w:jc w:val="both"/>
      </w:pPr>
      <w:r>
        <w:rPr>
          <w:rFonts w:ascii="Times New Roman" w:cs="Times New Roman" w:eastAsia="Times New Roman" w:hAnsi="Times New Roman"/>
          <w:sz w:val="20"/>
          <w:szCs w:val="20"/>
        </w:rPr>
        <w:t xml:space="preserve">We have argued that the objects of care—prescription, lab order, report, appointment, referral and dispensing—share a single architectural contract, and we have formalized that contract as the traceable sanitary object: a pattern defined by global identity, immutability with lineage, an append-only ledger, explicit and granular custody, a finite state machine, a canonical document with hash, and ownership from creation. Treating these artifacts as instances of one core is what yields traceability, auditability and the basis for cross-institutional interoperability—the open rails that public health still lacks, by analogy to what Pix provided for payments. Future work includes full ICP-Brasil signing, an event-publishing layer with webhooks to enable external adapters, a municipal pilot, and empirical validation in a real care setting.</w:t>
      </w:r>
    </w:p>
    <w:p>
      <w:pPr>
        <w:spacing w:after="80" w:before="160"/>
        <w:jc w:val="center"/>
      </w:pPr>
      <w:r>
        <w:rPr>
          <w:rFonts w:ascii="Times New Roman" w:cs="Times New Roman" w:eastAsia="Times New Roman" w:hAnsi="Times New Roman"/>
          <w:smallCaps/>
          <w:sz w:val="20"/>
          <w:szCs w:val="20"/>
        </w:rPr>
        <w:t xml:space="preserve">References</w:t>
      </w:r>
    </w:p>
    <w:p>
      <w:pPr>
        <w:spacing w:after="40" w:line="220"/>
        <w:ind w:left="260" w:hanging="2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Ministério da Saúde, “Rede Nacional de Dados em Saúde (RNDS),” Guia de Integração. [Online]. Available: https://rnds-guia.saude.gov.br/ </w:t>
      </w:r>
      <w:r>
        <w:rPr>
          <w:rFonts w:ascii="Times New Roman" w:cs="Times New Roman" w:eastAsia="Times New Roman" w:hAnsi="Times New Roman"/>
          <w:b/>
          <w:bCs/>
          <w:color w:val="C00000"/>
          <w:sz w:val="16"/>
          <w:szCs w:val="16"/>
        </w:rPr>
        <w:t xml:space="preserve">access date</w:t>
      </w:r>
    </w:p>
    <w:p>
      <w:pPr>
        <w:spacing w:after="40" w:line="220"/>
        <w:ind w:left="260" w:hanging="2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Ministério da Saúde, “RNDS — HL7 FHIR implementation guide.” [Online]. Available: https://rnds-fhir.saude.gov.br/ </w:t>
      </w:r>
      <w:r>
        <w:rPr>
          <w:rFonts w:ascii="Times New Roman" w:cs="Times New Roman" w:eastAsia="Times New Roman" w:hAnsi="Times New Roman"/>
          <w:b/>
          <w:bCs/>
          <w:color w:val="C00000"/>
          <w:sz w:val="16"/>
          <w:szCs w:val="16"/>
        </w:rPr>
        <w:t xml:space="preserve">access date</w:t>
      </w:r>
    </w:p>
    <w:p>
      <w:pPr>
        <w:spacing w:after="40" w:line="220"/>
        <w:ind w:left="260" w:hanging="2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G. C. Coelho Neto, R. Andreazza, and A. Chioro, “Integration among national health information systems in Brazil: the case of e-SUS Primary Care,” Rev. Saúde Pública, vol. 55, art. 93, 2021.</w:t>
      </w:r>
    </w:p>
    <w:p>
      <w:pPr>
        <w:spacing w:after="40" w:line="220"/>
        <w:ind w:left="260" w:hanging="2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I. M. P. Barbalho et al., “Electronic health records in Brazil: prospects and technological challenges,” Front. Public Health, vol. 10, art. 963841, 2022.</w:t>
      </w:r>
    </w:p>
    <w:p>
      <w:pPr>
        <w:spacing w:after="40" w:line="220"/>
        <w:ind w:left="260" w:hanging="2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b/>
          <w:bCs/>
          <w:color w:val="C00000"/>
          <w:sz w:val="16"/>
          <w:szCs w:val="16"/>
        </w:rPr>
        <w:t xml:space="preserve">authors — confirm at IEEE Xplore doc. 11241578</w:t>
      </w:r>
      <w:r>
        <w:rPr>
          <w:rFonts w:ascii="Times New Roman" w:cs="Times New Roman" w:eastAsia="Times New Roman" w:hAnsi="Times New Roman"/>
          <w:sz w:val="16"/>
          <w:szCs w:val="16"/>
        </w:rPr>
        <w:t xml:space="preserve">, “Digital health: context and challenges in Brazil with focus on public health,” in Proc. IEEE INDUSCON, 2025.</w:t>
      </w:r>
    </w:p>
    <w:p>
      <w:pPr>
        <w:spacing w:after="40" w:line="220"/>
        <w:ind w:left="260" w:hanging="2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Conselho Federal de Medicina, Resolução CFM n. 2.299/2021, Diário Oficial da União, Oct. 26, 2021.</w:t>
      </w:r>
    </w:p>
    <w:p>
      <w:pPr>
        <w:spacing w:after="40" w:line="220"/>
        <w:ind w:left="260" w:hanging="2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M. Fowler, “Event sourcing,” martinfowler.com, Dec. 2005. [Online]. Available: https://martinfowler.com/eaaDev/EventSourcing.html</w:t>
      </w:r>
    </w:p>
    <w:p>
      <w:pPr>
        <w:spacing w:after="40" w:line="220"/>
        <w:ind w:left="260" w:hanging="2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b/>
          <w:bCs/>
          <w:color w:val="C00000"/>
          <w:sz w:val="16"/>
          <w:szCs w:val="16"/>
        </w:rPr>
        <w:t xml:space="preserve">authors — via DOI</w:t>
      </w:r>
      <w:r>
        <w:rPr>
          <w:rFonts w:ascii="Times New Roman" w:cs="Times New Roman" w:eastAsia="Times New Roman" w:hAnsi="Times New Roman"/>
          <w:sz w:val="16"/>
          <w:szCs w:val="16"/>
        </w:rPr>
        <w:t xml:space="preserve">, “Blockchain-enabled traceability in pharmaceutical supply chains: a mapping review,” Logistics, vol. 10, no. 4, art. 85, 2024, doi: 10.3390/logistics10040085.</w:t>
      </w:r>
    </w:p>
    <w:p>
      <w:pPr>
        <w:spacing w:after="40" w:line="220"/>
        <w:ind w:left="260" w:hanging="2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U.S. Food and Drug Administration, Drug Supply Chain Security Act (DSCSA), Pub. L. 113-54, 2013; European Parliament and Council, Directive 2011/62/EU (Falsified Medicines Directive), 2011.</w:t>
      </w:r>
    </w:p>
    <w:p>
      <w:pPr>
        <w:spacing w:after="40" w:line="220"/>
        <w:ind w:left="260" w:hanging="2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A. Duarte, J. Frost, L. Gambacorta, P. Koo Wilkens, and H. S. Shin, “Central banks, the monetary system and public payment infrastructures: lessons from Brazil's Pix,” BIS Bulletin No. 52, Bank for International Settlements, Mar. 2022.</w:t>
      </w:r>
    </w:p>
    <w:p>
      <w:pPr>
        <w:spacing w:after="40" w:line="220"/>
        <w:ind w:left="260" w:hanging="2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Brasil, Lei n. 13.709/2018 (LGPD), Art. 11.</w:t>
      </w:r>
    </w:p>
    <w:p>
      <w:pPr>
        <w:spacing w:after="40" w:line="220"/>
        <w:ind w:left="260" w:hanging="2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ANVISA, Resolução RDC n. 1.000/2025 (electronic prescription of medications under special control; SNCR integration; amends Ordinance SVS/MS 344/98), 2025.</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2026-06-14T20:33:36.567Z</dcterms:created>
  <dcterms:modified xsi:type="dcterms:W3CDTF">2026-06-14T20:33:36.567Z</dcterms:modified>
</cp:coreProperties>
</file>

<file path=docProps/custom.xml><?xml version="1.0" encoding="utf-8"?>
<Properties xmlns="http://schemas.openxmlformats.org/officeDocument/2006/custom-properties" xmlns:vt="http://schemas.openxmlformats.org/officeDocument/2006/docPropsVTypes"/>
</file>