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5100" cy="2386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100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Raleway" w:cs="Raleway" w:eastAsia="Raleway" w:hAnsi="Raleway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Omegadeuno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Primera Iteración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Carátula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20 de agosto del 2018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Hernandez Luna Nora Hilda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Cárdenas Vallarta Josue Rodrigo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Rivera González Damián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Fuentes Juárez Francisco Javier Tonatiuh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Lázaro Arias Jorge Alberto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