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t xml:space="preserve">Федеральное государственное автономное образовательное учреждение высшего образования</w:t>
      </w:r>
    </w:p>
    <w:p>
      <w:pPr>
        <w:spacing w:after="0" w:before="0"/>
        <w:jc w:val="center"/>
      </w:pPr>
      <w:r>
        <w:rPr>
          <w:b/>
          <w:bCs/>
        </w:rPr>
        <w:t xml:space="preserve">«Национальный исследовательский университет ИТМО»</w:t>
      </w:r>
    </w:p>
    <w:p>
      <w:pPr>
        <w:spacing w:after="0" w:before="120"/>
        <w:jc w:val="center"/>
      </w:pPr>
      <w:r>
        <w:t xml:space="preserve">Факультет инфокоммуникационных технологий</w:t>
      </w:r>
    </w:p>
    <w:p>
      <w:pPr>
        <w:spacing w:after="0" w:before="3600"/>
        <w:jc w:val="center"/>
      </w:pPr>
      <w:r>
        <w:rPr>
          <w:b/>
          <w:bCs/>
          <w:sz w:val="32"/>
          <w:szCs w:val="32"/>
        </w:rPr>
        <w:t xml:space="preserve">ОТЧЕТ</w:t>
      </w:r>
    </w:p>
    <w:p>
      <w:pPr>
        <w:spacing w:after="0" w:before="120"/>
        <w:jc w:val="center"/>
      </w:pPr>
      <w:r>
        <w:t xml:space="preserve">по лабораторной работе №2</w:t>
      </w:r>
    </w:p>
    <w:p>
      <w:pPr>
        <w:spacing w:after="0" w:before="0"/>
        <w:jc w:val="center"/>
      </w:pPr>
      <w:r>
        <w:rPr>
          <w:b/>
          <w:bCs/>
        </w:rPr>
        <w:t xml:space="preserve">«Разметка неоднозначной категории»</w:t>
      </w:r>
    </w:p>
    <w:p>
      <w:pPr>
        <w:spacing w:after="0" w:before="0"/>
        <w:jc w:val="center"/>
      </w:pPr>
      <w:r>
        <w:t xml:space="preserve">по дисциплине «Автоматическая обработка текстов»</w:t>
      </w:r>
    </w:p>
    <w:p>
      <w:pPr>
        <w:spacing w:after="0" w:before="3000"/>
        <w:jc w:val="right"/>
      </w:pPr>
      <w:r>
        <w:t xml:space="preserve">Выполнили студенты группы К3440:</w:t>
      </w:r>
    </w:p>
    <w:p>
      <w:pPr>
        <w:spacing w:after="0" w:before="0"/>
        <w:jc w:val="right"/>
      </w:pPr>
      <w:r>
        <w:t xml:space="preserve">Мещеряков Даниил Павлович, ИСУ 409130</w:t>
      </w:r>
    </w:p>
    <w:p>
      <w:pPr>
        <w:spacing w:after="0" w:before="0"/>
        <w:jc w:val="right"/>
      </w:pPr>
      <w:r>
        <w:t xml:space="preserve">Соболь Владимир Вячеславович, ИСУ 409594</w:t>
      </w:r>
    </w:p>
    <w:p>
      <w:pPr>
        <w:spacing w:after="0" w:before="3600"/>
        <w:jc w:val="center"/>
      </w:pPr>
      <w:r>
        <w:t xml:space="preserve">Санкт-Петербург</w:t>
      </w:r>
    </w:p>
    <w:p>
      <w:pPr>
        <w:spacing w:after="0" w:before="0"/>
        <w:jc w:val="center"/>
      </w:pPr>
      <w:r>
        <w:t xml:space="preserve">2026</w:t>
      </w:r>
    </w:p>
    <w:p>
      <w:pPr>
        <w:pStyle w:val="Heading1"/>
        <w:pageBreakBefore/>
      </w:pPr>
      <w:r>
        <w:t xml:space="preserve">1. Данные и процедура</w:t>
      </w:r>
    </w:p>
    <w:p>
      <w:pPr>
        <w:jc w:val="both"/>
      </w:pPr>
      <w:r>
        <w:t xml:space="preserve">Сгенерировано 90 коротких текстов без меток: отзывы, реплики из чатов, комментарии, объявления (</w:t>
      </w:r>
      <w:r>
        <w:rPr>
          <w:rFonts w:ascii="Courier New" w:cs="Courier New" w:eastAsia="Courier New" w:hAnsi="Courier New"/>
          <w:sz w:val="21"/>
          <w:szCs w:val="21"/>
        </w:rPr>
        <w:t xml:space="preserve">data/texts.csv</w:t>
      </w:r>
      <w:r>
        <w:t xml:space="preserve">). В наборе смешаны явная ирония, буквальные тексты и реплики, допускающие оба прочтения.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Каждый разметчик до обсуждения записал свое рабочее определение (</w:t>
      </w:r>
      <w:r>
        <w:rPr>
          <w:rFonts w:ascii="Courier New" w:cs="Courier New" w:eastAsia="Courier New" w:hAnsi="Courier New"/>
          <w:sz w:val="21"/>
          <w:szCs w:val="21"/>
        </w:rPr>
        <w:t xml:space="preserve">annotators/*_definition.md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90 текстов размечены независимо метками 1, 0, ? (</w:t>
      </w:r>
      <w:r>
        <w:rPr>
          <w:rFonts w:ascii="Courier New" w:cs="Courier New" w:eastAsia="Courier New" w:hAnsi="Courier New"/>
          <w:sz w:val="21"/>
          <w:szCs w:val="21"/>
        </w:rPr>
        <w:t xml:space="preserve">annotators/*_round1.csv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Разметки объединены без изменения ответов (</w:t>
      </w:r>
      <w:r>
        <w:rPr>
          <w:rFonts w:ascii="Courier New" w:cs="Courier New" w:eastAsia="Courier New" w:hAnsi="Courier New"/>
          <w:sz w:val="21"/>
          <w:szCs w:val="21"/>
        </w:rPr>
        <w:t xml:space="preserve">data/annotations.csv</w:t>
      </w:r>
      <w:r>
        <w:t xml:space="preserve">), </w:t>
      </w:r>
      <w:r>
        <w:rPr>
          <w:rFonts w:ascii="Courier New" w:cs="Courier New" w:eastAsia="Courier New" w:hAnsi="Courier New"/>
          <w:sz w:val="21"/>
          <w:szCs w:val="21"/>
        </w:rPr>
        <w:t xml:space="preserve">analysis.py</w:t>
      </w:r>
      <w:r>
        <w:t xml:space="preserve"> считает попарную Cohen's kappa (scikit-learn), Fleiss' kappa (statsmodels) и Krippendorff's alpha.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Отобраны 30 спорных текстов, причины сгруппированы (</w:t>
      </w:r>
      <w:r>
        <w:rPr>
          <w:rFonts w:ascii="Courier New" w:cs="Courier New" w:eastAsia="Courier New" w:hAnsi="Courier New"/>
          <w:sz w:val="21"/>
          <w:szCs w:val="21"/>
        </w:rPr>
        <w:t xml:space="preserve">data/disputed_30.csv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Написана общая инструкция (</w:t>
      </w:r>
      <w:r>
        <w:rPr>
          <w:rFonts w:ascii="Courier New" w:cs="Courier New" w:eastAsia="Courier New" w:hAnsi="Courier New"/>
          <w:sz w:val="21"/>
          <w:szCs w:val="21"/>
        </w:rPr>
        <w:t xml:space="preserve">instruction.md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30 спорных текстов независимо размечены повторно (</w:t>
      </w:r>
      <w:r>
        <w:rPr>
          <w:rFonts w:ascii="Courier New" w:cs="Courier New" w:eastAsia="Courier New" w:hAnsi="Courier New"/>
          <w:sz w:val="21"/>
          <w:szCs w:val="21"/>
        </w:rPr>
        <w:t xml:space="preserve">annotators/*_round2.csv</w:t>
      </w:r>
      <w:r>
        <w:t xml:space="preserve">).</w:t>
      </w:r>
    </w:p>
    <w:p>
      <w:pPr>
        <w:jc w:val="both"/>
      </w:pPr>
      <w:r>
        <w:rPr>
          <w:b/>
          <w:bCs/>
        </w:rPr>
        <w:t xml:space="preserve">Разметчики.</w:t>
      </w:r>
      <w:r>
        <w:t xml:space="preserve"> A: Мещеряков Д.П., B: Соболь В.В. Третий независимый разметчик C: языковая модель Claude Haiku 4.5 с тем же заданием и без доступа к нашим ответам. Так метрики считаются по трем разметчикам, а людей можно сравнить с моделью.</w:t>
      </w:r>
    </w:p>
    <w:p>
      <w:pPr>
        <w:jc w:val="both"/>
      </w:pPr>
      <w:r>
        <w:t xml:space="preserve">Определения расходились уже на старте. A требует намеренного переворота смысла и ставит ?, если в тексте нет опоры. B прямо включает в иронию сарказм. Модель понимает иронию шире, включая ситуативную («реальность противоречит ожиданиям»), и ни разу не поставила ?.</w:t>
      </w:r>
    </w:p>
    <w:p>
      <w:pPr>
        <w:jc w:val="both"/>
      </w:pPr>
      <w:r>
        <w:rPr>
          <w:b/>
          <w:bCs/>
        </w:rPr>
        <w:t xml:space="preserve">Решения исследователя.</w:t>
      </w:r>
      <w:r>
        <w:t xml:space="preserve"> Метку ? можно считать третьим классом или пропуском, поэтому метрики посчитаны в обоих вариантах. Спорность текста считается как сумма попарных расхождений: пара 1/0 весит 1, пара с ? весит 0,5. При равенстве учитываются энтропия меток и число комментариев-сомнений.</w:t>
      </w:r>
    </w:p>
    <w:p>
      <w:pPr>
        <w:pStyle w:val="Heading1"/>
      </w:pPr>
      <w:r>
        <w:t xml:space="preserve">2. Метрики согласованности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1"/>
        <w:gridCol w:w="2012"/>
        <w:gridCol w:w="2012"/>
        <w:gridCol w:w="2013"/>
      </w:tblGrid>
      <w:tr>
        <w:trPr>
          <w:tblHeader/>
        </w:trPr>
        <w:tc>
          <w:tcPr>
            <w:tcW w:type="dxa" w:w="36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Метрика</w:t>
            </w:r>
          </w:p>
        </w:tc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Раунд 1, 90 текстов</w:t>
            </w:r>
          </w:p>
        </w:tc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Раунд 1, 30 спорных</w:t>
            </w:r>
          </w:p>
        </w:tc>
        <w:tc>
          <w:tcPr>
            <w:tcW w:type="dxa" w:w="2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Раунд 2, 30 спорных</w:t>
            </w:r>
          </w:p>
        </w:tc>
      </w:tr>
      <w:tr>
        <w:trPr>
          <w:tblHeader w:val="false"/>
        </w:trPr>
        <w:tc>
          <w:tcPr>
            <w:tcW w:type="dxa" w:w="36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Cohen kappa A-B (0/1/?)</w:t>
            </w:r>
          </w:p>
        </w:tc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0,761</w:t>
            </w:r>
          </w:p>
        </w:tc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0,417</w:t>
            </w:r>
          </w:p>
        </w:tc>
        <w:tc>
          <w:tcPr>
            <w:tcW w:type="dxa" w:w="2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0,681</w:t>
            </w:r>
          </w:p>
        </w:tc>
      </w:tr>
      <w:tr>
        <w:trPr>
          <w:tblHeader w:val="false"/>
        </w:trPr>
        <w:tc>
          <w:tcPr>
            <w:tcW w:type="dxa" w:w="36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Cohen kappa A-C (0/1/?)</w:t>
            </w:r>
          </w:p>
        </w:tc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0,639</w:t>
            </w:r>
          </w:p>
        </w:tc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0,123</w:t>
            </w:r>
          </w:p>
        </w:tc>
        <w:tc>
          <w:tcPr>
            <w:tcW w:type="dxa" w:w="2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0,516</w:t>
            </w:r>
          </w:p>
        </w:tc>
      </w:tr>
      <w:tr>
        <w:trPr>
          <w:tblHeader w:val="false"/>
        </w:trPr>
        <w:tc>
          <w:tcPr>
            <w:tcW w:type="dxa" w:w="36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Cohen kappa B-C (0/1/?)</w:t>
            </w:r>
          </w:p>
        </w:tc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0,843</w:t>
            </w:r>
          </w:p>
        </w:tc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0,553</w:t>
            </w:r>
          </w:p>
        </w:tc>
        <w:tc>
          <w:tcPr>
            <w:tcW w:type="dxa" w:w="2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0,522</w:t>
            </w:r>
          </w:p>
        </w:tc>
      </w:tr>
      <w:tr>
        <w:trPr>
          <w:tblHeader w:val="false"/>
        </w:trPr>
        <w:tc>
          <w:tcPr>
            <w:tcW w:type="dxa" w:w="36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Cohen kappa A-B (без ?)</w:t>
            </w:r>
          </w:p>
        </w:tc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0,922</w:t>
            </w:r>
          </w:p>
        </w:tc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0,689</w:t>
            </w:r>
          </w:p>
        </w:tc>
        <w:tc>
          <w:tcPr>
            <w:tcW w:type="dxa" w:w="2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0,659</w:t>
            </w:r>
          </w:p>
        </w:tc>
      </w:tr>
      <w:tr>
        <w:trPr>
          <w:tblHeader w:val="false"/>
        </w:trPr>
        <w:tc>
          <w:tcPr>
            <w:tcW w:type="dxa" w:w="36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Cohen kappa A-C (без ?)</w:t>
            </w:r>
          </w:p>
        </w:tc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0,820</w:t>
            </w:r>
          </w:p>
        </w:tc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0,265</w:t>
            </w:r>
          </w:p>
        </w:tc>
        <w:tc>
          <w:tcPr>
            <w:tcW w:type="dxa" w:w="2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0,452</w:t>
            </w:r>
          </w:p>
        </w:tc>
      </w:tr>
      <w:tr>
        <w:trPr>
          <w:tblHeader w:val="false"/>
        </w:trPr>
        <w:tc>
          <w:tcPr>
            <w:tcW w:type="dxa" w:w="36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Cohen kappa B-C (без ?)</w:t>
            </w:r>
          </w:p>
        </w:tc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0,882</w:t>
            </w:r>
          </w:p>
        </w:tc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0,624</w:t>
            </w:r>
          </w:p>
        </w:tc>
        <w:tc>
          <w:tcPr>
            <w:tcW w:type="dxa" w:w="2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0,424</w:t>
            </w:r>
          </w:p>
        </w:tc>
      </w:tr>
      <w:tr>
        <w:trPr>
          <w:tblHeader w:val="false"/>
        </w:trPr>
        <w:tc>
          <w:tcPr>
            <w:tcW w:type="dxa" w:w="36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Fleiss kappa (0/1/?)</w:t>
            </w:r>
          </w:p>
        </w:tc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0,743</w:t>
            </w:r>
          </w:p>
        </w:tc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0,321</w:t>
            </w:r>
          </w:p>
        </w:tc>
        <w:tc>
          <w:tcPr>
            <w:tcW w:type="dxa" w:w="2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0,560</w:t>
            </w:r>
          </w:p>
        </w:tc>
      </w:tr>
      <w:tr>
        <w:trPr>
          <w:tblHeader w:val="false"/>
        </w:trPr>
        <w:tc>
          <w:tcPr>
            <w:tcW w:type="dxa" w:w="36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Krippendorff alpha (? как класс)</w:t>
            </w:r>
          </w:p>
        </w:tc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0,744</w:t>
            </w:r>
          </w:p>
        </w:tc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0,329</w:t>
            </w:r>
          </w:p>
        </w:tc>
        <w:tc>
          <w:tcPr>
            <w:tcW w:type="dxa" w:w="2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0,565</w:t>
            </w:r>
          </w:p>
        </w:tc>
      </w:tr>
      <w:tr>
        <w:trPr>
          <w:tblHeader w:val="false"/>
        </w:trPr>
        <w:tc>
          <w:tcPr>
            <w:tcW w:type="dxa" w:w="36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Krippendorff alpha (? как пропуск)</w:t>
            </w:r>
          </w:p>
        </w:tc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0,871</w:t>
            </w:r>
          </w:p>
        </w:tc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0,566</w:t>
            </w:r>
          </w:p>
        </w:tc>
        <w:tc>
          <w:tcPr>
            <w:tcW w:type="dxa" w:w="2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0,467</w:t>
            </w:r>
          </w:p>
        </w:tc>
      </w:tr>
      <w:tr>
        <w:trPr>
          <w:tblHeader w:val="false"/>
        </w:trPr>
        <w:tc>
          <w:tcPr>
            <w:tcW w:type="dxa" w:w="36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Полное согласие трех</w:t>
            </w:r>
          </w:p>
        </w:tc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80%</w:t>
            </w:r>
          </w:p>
        </w:tc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40%</w:t>
            </w:r>
          </w:p>
        </w:tc>
        <w:tc>
          <w:tcPr>
            <w:tcW w:type="dxa" w:w="2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60%</w:t>
            </w:r>
          </w:p>
        </w:tc>
      </w:tr>
      <w:tr>
        <w:trPr>
          <w:tblHeader w:val="false"/>
        </w:trPr>
        <w:tc>
          <w:tcPr>
            <w:tcW w:type="dxa" w:w="36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Доля меток ?</w:t>
            </w:r>
          </w:p>
        </w:tc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4,8%</w:t>
            </w:r>
          </w:p>
        </w:tc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14,4%</w:t>
            </w:r>
          </w:p>
        </w:tc>
        <w:tc>
          <w:tcPr>
            <w:tcW w:type="dxa" w:w="2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31,1%</w:t>
            </w:r>
          </w:p>
        </w:tc>
      </w:tr>
    </w:tbl>
    <w:p>
      <w:pPr>
        <w:spacing w:after="60"/>
      </w:pPr>
    </w:p>
    <w:p>
      <w:pPr>
        <w:jc w:val="both"/>
      </w:pPr>
      <w:r>
        <w:t xml:space="preserve">На всем наборе согласованность высокая: Fleiss kappa 0,74, все трое совпали на 72 текстах из 90. Между людьми kappa 0,76. Слабее всего пара A-C (0,64): A поставил ? 11 раз, модель ни разу. Если считать ? пропуском, alpha растет до 0,87. Значит, заметная часть расхождений связана не с пониманием иронии, а с тем, когда разрешено ставить ?.</w:t>
      </w:r>
    </w:p>
    <w:p>
      <w:pPr>
        <w:pStyle w:val="Heading1"/>
      </w:pPr>
      <w:r>
        <w:t xml:space="preserve">3. Спорные примеры и причины расхождений</w:t>
      </w:r>
    </w:p>
    <w:p>
      <w:pPr>
        <w:jc w:val="both"/>
      </w:pPr>
      <w:r>
        <w:t xml:space="preserve">Явные расхождения нашлись только в 18 текстах. Еще 11 мест заняли единогласные тексты с комментарием-сомнением, один текст добран по порядку id.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0"/>
        <w:gridCol w:w="710"/>
        <w:gridCol w:w="6088"/>
      </w:tblGrid>
      <w:tr>
        <w:trPr>
          <w:tblHeader/>
        </w:trPr>
        <w:tc>
          <w:tcPr>
            <w:tcW w:type="dxa" w:w="2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Причина</w:t>
            </w:r>
          </w:p>
        </w:tc>
        <w:tc>
          <w:tcPr>
            <w:tcW w:type="dxa" w:w="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Текстов</w:t>
            </w:r>
          </w:p>
        </w:tc>
        <w:tc>
          <w:tcPr>
            <w:tcW w:type="dxa" w:w="60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Суть</w:t>
            </w:r>
          </w:p>
        </w:tc>
      </w:tr>
      <w:tr>
        <w:trPr>
          <w:tblHeader w:val="false"/>
        </w:trPr>
        <w:tc>
          <w:tcPr>
            <w:tcW w:type="dxa" w:w="2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Нехватка контекста</w:t>
            </w:r>
          </w:p>
        </w:tc>
        <w:tc>
          <w:tcPr>
            <w:tcW w:type="dxa" w:w="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13</w:t>
            </w:r>
          </w:p>
        </w:tc>
        <w:tc>
          <w:tcPr>
            <w:tcW w:type="dxa" w:w="60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Короткая оценочная реплика без ситуации («Прекрасно, просто прекрасно», «Ну ты и гений»). A ставит ?, B и C решают по типичному употреблению</w:t>
            </w:r>
          </w:p>
        </w:tc>
      </w:tr>
      <w:tr>
        <w:trPr>
          <w:tblHeader w:val="false"/>
        </w:trPr>
        <w:tc>
          <w:tcPr>
            <w:tcW w:type="dxa" w:w="2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Границы категории</w:t>
            </w:r>
          </w:p>
        </w:tc>
        <w:tc>
          <w:tcPr>
            <w:tcW w:type="dxa" w:w="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8</w:t>
            </w:r>
          </w:p>
        </w:tc>
        <w:tc>
          <w:tcPr>
            <w:tcW w:type="dxa" w:w="60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Считать ли иронией риторический вопрос, едкую констатацию, самоиронию, иронию в одном слове («эксперты по всему на свете»)</w:t>
            </w:r>
          </w:p>
        </w:tc>
      </w:tr>
      <w:tr>
        <w:trPr>
          <w:tblHeader w:val="false"/>
        </w:trPr>
        <w:tc>
          <w:tcPr>
            <w:tcW w:type="dxa" w:w="2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Маркеры и устойчивые формулы</w:t>
            </w:r>
          </w:p>
        </w:tc>
        <w:tc>
          <w:tcPr>
            <w:tcW w:type="dxa" w:w="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type="dxa" w:w="60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Хватает ли маркера («как всегда», «вот уж действительно») или идиомы («возьми с полки пирожок») без фактов в тексте</w:t>
            </w:r>
          </w:p>
        </w:tc>
      </w:tr>
      <w:tr>
        <w:trPr>
          <w:tblHeader w:val="false"/>
        </w:trPr>
        <w:tc>
          <w:tcPr>
            <w:tcW w:type="dxa" w:w="2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Невнимательность</w:t>
            </w:r>
          </w:p>
        </w:tc>
        <w:tc>
          <w:tcPr>
            <w:tcW w:type="dxa" w:w="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60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Метка противоречит собственному определению разметчика</w:t>
            </w:r>
          </w:p>
        </w:tc>
      </w:tr>
      <w:tr>
        <w:trPr>
          <w:tblHeader w:val="false"/>
        </w:trPr>
        <w:tc>
          <w:tcPr>
            <w:tcW w:type="dxa" w:w="2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Нет расхождения</w:t>
            </w:r>
          </w:p>
        </w:tc>
        <w:tc>
          <w:tcPr>
            <w:tcW w:type="dxa" w:w="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60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Добран по порядку id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Инструкция</w:t>
      </w:r>
    </w:p>
    <w:p>
      <w:pPr>
        <w:jc w:val="both"/>
      </w:pPr>
      <w:r>
        <w:t xml:space="preserve">Главные решения: признак иронии это переворот смысла, и опора для него должна быть в самом тексте; без опоры действует презумпция буквальности (0); ? только для двуликих реплик без ситуации; сарказм без ложной похвалы, риторические вопросы и едкие констатации получают 0, устойчивые иронические формулы 1. Примеры в инструкции новые, чтобы не подсказывать ответы.</w:t>
      </w:r>
    </w:p>
    <w:p>
      <w:pPr>
        <w:pStyle w:val="Heading1"/>
      </w:pPr>
      <w:r>
        <w:t xml:space="preserve">5. Согласованность до и после</w:t>
      </w:r>
    </w:p>
    <w:p>
      <w:pPr>
        <w:jc w:val="both"/>
      </w:pPr>
      <w:r>
        <w:t xml:space="preserve">На 30 спорных текстах Fleiss kappa выросла с 0,32 до 0,56, полное согласие с 40% до 60%. Однако картина неоднородна: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9"/>
        <w:gridCol w:w="1112"/>
        <w:gridCol w:w="988"/>
        <w:gridCol w:w="1112"/>
        <w:gridCol w:w="2967"/>
      </w:tblGrid>
      <w:tr>
        <w:trPr>
          <w:tblHeader/>
        </w:trPr>
        <w:tc>
          <w:tcPr>
            <w:tcW w:type="dxa" w:w="34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Причина</w:t>
            </w:r>
          </w:p>
        </w:tc>
        <w:tc>
          <w:tcPr>
            <w:tcW w:type="dxa" w:w="1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Устранено</w:t>
            </w:r>
          </w:p>
        </w:tc>
        <w:tc>
          <w:tcPr>
            <w:tcW w:type="dxa" w:w="9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Осталось</w:t>
            </w:r>
          </w:p>
        </w:tc>
        <w:tc>
          <w:tcPr>
            <w:tcW w:type="dxa" w:w="1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Появилось</w:t>
            </w:r>
          </w:p>
        </w:tc>
        <w:tc>
          <w:tcPr>
            <w:tcW w:type="dxa" w:w="2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Согласие в обоих раундах</w:t>
            </w:r>
          </w:p>
        </w:tc>
      </w:tr>
      <w:tr>
        <w:trPr>
          <w:tblHeader w:val="false"/>
        </w:trPr>
        <w:tc>
          <w:tcPr>
            <w:tcW w:type="dxa" w:w="34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Нехватка контекста</w:t>
            </w:r>
          </w:p>
        </w:tc>
        <w:tc>
          <w:tcPr>
            <w:tcW w:type="dxa" w:w="1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type="dxa" w:w="9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1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2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34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Границы категории</w:t>
            </w:r>
          </w:p>
        </w:tc>
        <w:tc>
          <w:tcPr>
            <w:tcW w:type="dxa" w:w="1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9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1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2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34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Маркеры и устойчивые формулы</w:t>
            </w:r>
          </w:p>
        </w:tc>
        <w:tc>
          <w:tcPr>
            <w:tcW w:type="dxa" w:w="1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9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1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2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34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Невнимательность</w:t>
            </w:r>
          </w:p>
        </w:tc>
        <w:tc>
          <w:tcPr>
            <w:tcW w:type="dxa" w:w="1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9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1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2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4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sz w:val="21"/>
                <w:szCs w:val="21"/>
              </w:rPr>
              <w:t xml:space="preserve">Нет расхождения</w:t>
            </w:r>
          </w:p>
        </w:tc>
        <w:tc>
          <w:tcPr>
            <w:tcW w:type="dxa" w:w="1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9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1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2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</w:tr>
    </w:tbl>
    <w:p>
      <w:pPr>
        <w:spacing w:after="60"/>
      </w:pPr>
    </w:p>
    <w:p>
      <w:pPr>
        <w:jc w:val="both"/>
      </w:pPr>
      <w:r>
        <w:t xml:space="preserve">Инструкция устранила 12 из 18 явных расхождений, но создала 6 новых на текстах, где в первом раунде было единогласие. Рост kappa почти целиком дает согласие на метке ?: все семь двуликих реплик трое пометили ?. Если считать ? пропуском, alpha падает с 0,57 до 0,47, то есть на текстах, где разметчики все же выбирали 0 или 1, согласие не выросло. Прирост к тому же частично завышен отбором: тексты выбраны по разногласиям первого раунда, и часть случайных расхождений исчезла бы при любом повторе.</w:t>
      </w:r>
    </w:p>
    <w:p>
      <w:pPr>
        <w:pStyle w:val="Heading1"/>
      </w:pPr>
      <w:r>
        <w:t xml:space="preserve">6. Разбор спорных примеров</w:t>
      </w:r>
    </w:p>
    <w:p>
      <w:pPr>
        <w:jc w:val="both"/>
      </w:pPr>
      <w:r>
        <w:rPr>
          <w:b/>
          <w:bCs/>
        </w:rPr>
        <w:t xml:space="preserve">№63 «Какой тонкий юмор у нашего преподавателя.»</w:t>
      </w:r>
      <w:r>
        <w:t xml:space="preserve"> Раунд 1: ?, 1, 0, единственный текст, где все три метки разные. Раунд 2: ?, ?, ?. В тексте нет ни фактов, ни маркеров, похвала и насмешка одинаково естественны. Понятнее текст не стал: спор шел не о тексте, а о том, как называть неопределенность.</w:t>
      </w:r>
    </w:p>
    <w:p>
      <w:pPr>
        <w:jc w:val="both"/>
      </w:pPr>
      <w:r>
        <w:rPr>
          <w:b/>
          <w:bCs/>
        </w:rPr>
        <w:t xml:space="preserve">№76 «Этот политик, как всегда, заботится исключительно о народе.»</w:t>
      </w:r>
      <w:r>
        <w:t xml:space="preserve"> Раунд 1: 1, 1, 1. Раунд 2: ?, 0, 1. Интуитивно ирония очевидна, но держится на знании о политиках, а не на фактах в тексте. Инструкция запретила считать стереотипы опорой и одновременно разрешила иронию в одном слове (П4). A и B применили первое правило, модель второе. Согласованная интуиция превратилась в спор о правилах: целевая переменная поменялась вместе с инструкцией.</w:t>
      </w:r>
    </w:p>
    <w:p>
      <w:pPr>
        <w:jc w:val="both"/>
      </w:pPr>
      <w:r>
        <w:rPr>
          <w:b/>
          <w:bCs/>
        </w:rPr>
        <w:t xml:space="preserve">№6 «Сын сказал, что уроки сделал. Верю, как себе.»</w:t>
      </w:r>
      <w:r>
        <w:t xml:space="preserve"> Раунд 1: ?, 1, 1. Раунд 2: 0, 0, 1. A и B по презумпции буквальности решили, что недоверие к сыну приходится додумывать. Модель сочла, что «верю» употреблено в обратном смысле. Ирония здесь рождается из прагматического вывода о типичной ситуации, и никакое правило не делает этот вывод обязательным или запрещенным для всех читателей.</w:t>
      </w:r>
    </w:p>
    <w:p>
      <w:pPr>
        <w:pStyle w:val="Heading1"/>
      </w:pPr>
      <w:r>
        <w:t xml:space="preserve">7. Выводы</w:t>
      </w:r>
    </w:p>
    <w:p>
      <w:pPr>
        <w:jc w:val="both"/>
      </w:pPr>
      <w:r>
        <w:rPr>
          <w:b/>
          <w:bCs/>
        </w:rPr>
        <w:t xml:space="preserve">Инструкцией устраняются: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разная политика метки ?: единое правило для двуликих реплик дало полное согласие на семи текстах;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споры о границах категории: после явных решений о риторических вопросах, едких констатациях и иронии в одном слове сошлись 4 спора из 5;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невнимательность.</w:t>
      </w:r>
    </w:p>
    <w:p>
      <w:pPr>
        <w:jc w:val="both"/>
      </w:pPr>
      <w:r>
        <w:rPr>
          <w:b/>
          <w:bCs/>
        </w:rPr>
        <w:t xml:space="preserve">Принципиальная неоднозначность: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реплики без контекста. Инструкция не определяет их смысл, а только договаривается о метке ?, и доля ? выросла до 31%;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ирония, опирающаяся на знание мира и прагматический вывод (№6, №14, №51, №76). Правило «опора только в тексте» раскалывает интуитивно ясные случаи и порождает новые расхождения;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устойчивые формулы. Их прочтение зависит от языкового опыта: в повторном раунде модель не узнала в «возьми с полки пирожок» ироническую формулу, а A счел «хотели как лучше» поговоркой без переворота. Исчерпывающий список таких формул составить нельзя.</w:t>
      </w:r>
    </w:p>
    <w:p>
      <w:pPr>
        <w:jc w:val="both"/>
      </w:pPr>
      <w:r>
        <w:rPr>
          <w:b/>
          <w:bCs/>
        </w:rPr>
        <w:t xml:space="preserve">Модель как разметчик.</w:t>
      </w:r>
      <w:r>
        <w:t xml:space="preserve"> В первом раунде модель ни разу не поставила ?, то есть не признавала неопределенность там, где ее видели люди. После инструкции она стала ставить ? даже на тексты с описанной ситуацией, где мы по презумпции буквальности выбрали 0 (№46, №51). Правила модель применяет буквальнее и шире, чем люди.</w:t>
      </w:r>
    </w:p>
    <w:p>
      <w:pPr>
        <w:jc w:val="both"/>
      </w:pPr>
      <w:r>
        <w:t xml:space="preserve">Ирония не содержится в тексте как готовое свойство. Одни и те же тексты получили разные распределения меток при разных определениях, а одна инструкция одновременно сняла одни споры и создала другие. Целевую переменную задают решения исследователя: что считать опорой, как обращаться с ?, куда отнести сарказм и самоиронию.</w:t>
      </w:r>
    </w:p>
    <w:p>
      <w:pPr>
        <w:pStyle w:val="Heading1"/>
      </w:pPr>
      <w:r>
        <w:t xml:space="preserve">8. Вклад участников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Мещеряков Д.П. (разметчик A): генерация 90 текстов, первичная и повторная разметка, скрипт </w:t>
      </w:r>
      <w:r>
        <w:rPr>
          <w:rFonts w:ascii="Courier New" w:cs="Courier New" w:eastAsia="Courier New" w:hAnsi="Courier New"/>
          <w:sz w:val="21"/>
          <w:szCs w:val="21"/>
        </w:rPr>
        <w:t xml:space="preserve">analysis.py</w:t>
      </w:r>
      <w:r>
        <w:t xml:space="preserve">, расчет метрик.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Соболь В.В. (разметчик B): первичная и повторная разметка, запуск разметчика-модели, отбор спорных примеров и группировка причин, инструкция разметчику.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Совместно: разбор спорных примеров, выводы, текст отчета.</w:t>
      </w:r>
    </w:p>
    <w:p>
      <w:pPr>
        <w:jc w:val="both"/>
      </w:pPr>
      <w:r>
        <w:t xml:space="preserve">Все участники отвечают за содержание отчета и выводы.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</w:pPr>
    <w:rPr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2026-09-23T18:55:23.330Z</dcterms:created>
  <dcterms:modified xsi:type="dcterms:W3CDTF">2026-09-23T18:55:23.332Z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