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 5. Мини-RAG с доказательствами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Курс: Автоматическая обработка текстов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Разделить задачу ответа по длинному документу на поиск релевантного контекста и генерацию ответа, а затем определить источник ошибок каждого компонента.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Исходные данные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Сгенерировать следующие синтетические данные: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документов по 20–50 абзацев и 100 вопросов. Для каждого вопроса в учебной части указаны ответ и идентификаторы доказательных абзацев. Не менее 20 вопросов не имеют ответа в документе. Тестовая часть выдается без эталонных ответов.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Обязательные режимы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Полный документ передается LLM.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BM25 выбирает пять абзацев, после чего только эти абзацы передаются той же LLM.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Выходной формат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br w:type="textWrapping"/>
        <w:t xml:space="preserve">  "answer": "текст ответа или null",</w:t>
        <w:br w:type="textWrapping"/>
        <w:t xml:space="preserve">  "evidence_ids": [4, 11],</w:t>
        <w:br w:type="textWrapping"/>
        <w:t xml:space="preserve">  "answerable": true</w:t>
        <w:br w:type="textWrapping"/>
        <w:t xml:space="preserve">}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(в группах до 3 человек)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Разбейте документы на абзацы и сохраните стабильные идентификаторы.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Постройте BM25-индекс и реализуйте получение top-5 абзацев для вопроса.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Вычислите recall доказательных абзацев в top-5 до подключения LLM.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Разработайте один промпт, применяемый в обоих режимах. Он должен разрешать отказ от ответа и требовать evidence_ids.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Проверьте JSON через Pydantic и убедитесь, что все evidence_ids существуют в переданном контексте.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Сравните режимы по ответам, доказательствам, отказам, времени и числу токенов.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Разберите 15 ошибок: пять ошибок retrieval; пять ошибок LLM при наличии правильного абзаца; пять ошибок определения answerable.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Технологический минимум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rank-bm25;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razdel;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LLM;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pydantic;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Распределение ответственности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84.566929133859"/>
        <w:gridCol w:w="5640.9448818897645"/>
        <w:tblGridChange w:id="0">
          <w:tblGrid>
            <w:gridCol w:w="3384.566929133859"/>
            <w:gridCol w:w="5640.944881889764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зона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сегментация, идентификаторы, BM25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промпт, вызов LLM, обработка ответов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метрики, тесты, анализ ошибок</w:t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Все участники обязаны понимать архитектуру целиком и отвечать на вопросы по любому ее компоненту.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сдаётся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retrieve.py, generate.py и evaluate.py;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промпта;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CSV/JSONL с результатами двух режимов;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вклада участников;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