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</w:rPr>
        <w:t>«Национальный исследовательский университет ИТМО»</w:t>
      </w:r>
    </w:p>
    <w:p>
      <w:pPr>
        <w:spacing w:before="120" w:after="0"/>
        <w:jc w:val="center"/>
      </w:pPr>
      <w:r>
        <w:rPr>
          <w:rFonts w:ascii="Times New Roman" w:hAnsi="Times New Roman" w:eastAsia="Times New Roman"/>
        </w:rPr>
        <w:t>Факультет инфокоммуникационных технологий</w:t>
      </w:r>
    </w:p>
    <w:p>
      <w:pPr>
        <w:spacing w:before="3000" w:after="0"/>
        <w:jc w:val="center"/>
      </w:pPr>
      <w:r>
        <w:rPr>
          <w:rFonts w:ascii="Times New Roman" w:hAnsi="Times New Roman" w:eastAsia="Times New Roman"/>
          <w:b/>
          <w:sz w:val="32"/>
        </w:rPr>
        <w:t>ОТЧЕТ</w:t>
      </w:r>
    </w:p>
    <w:p>
      <w:pPr>
        <w:spacing w:after="0"/>
        <w:jc w:val="center"/>
      </w:pPr>
      <w:r>
        <w:rPr>
          <w:rFonts w:ascii="Times New Roman" w:hAnsi="Times New Roman" w:eastAsia="Times New Roman"/>
        </w:rPr>
        <w:t>по лабораторной работе №5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</w:rPr>
        <w:t>«Мини-RAG с доказательствами»</w:t>
      </w:r>
    </w:p>
    <w:p>
      <w:pPr>
        <w:spacing w:after="0"/>
        <w:jc w:val="center"/>
      </w:pPr>
      <w:r>
        <w:rPr>
          <w:rFonts w:ascii="Times New Roman" w:hAnsi="Times New Roman" w:eastAsia="Times New Roman"/>
        </w:rPr>
        <w:t>по дисциплине «Автоматическая обработка текстов»</w:t>
      </w:r>
    </w:p>
    <w:p>
      <w:pPr>
        <w:spacing w:before="2400" w:after="0"/>
        <w:jc w:val="right"/>
      </w:pPr>
      <w:r>
        <w:rPr>
          <w:rFonts w:ascii="Times New Roman" w:hAnsi="Times New Roman" w:eastAsia="Times New Roman"/>
        </w:rPr>
        <w:t>Выполнили студенты группы К3440:</w:t>
      </w:r>
    </w:p>
    <w:p>
      <w:pPr>
        <w:spacing w:after="0"/>
        <w:jc w:val="right"/>
      </w:pPr>
      <w:r>
        <w:rPr>
          <w:rFonts w:ascii="Times New Roman" w:hAnsi="Times New Roman" w:eastAsia="Times New Roman"/>
        </w:rPr>
        <w:t>Мещеряков Даниил Павлович, ИСУ 409130</w:t>
      </w:r>
    </w:p>
    <w:p>
      <w:pPr>
        <w:spacing w:after="0"/>
        <w:jc w:val="right"/>
      </w:pPr>
      <w:r>
        <w:rPr>
          <w:rFonts w:ascii="Times New Roman" w:hAnsi="Times New Roman" w:eastAsia="Times New Roman"/>
        </w:rPr>
        <w:t>Соболь Владимир Вячеславович, ИСУ 409594</w:t>
      </w:r>
    </w:p>
    <w:p>
      <w:pPr>
        <w:spacing w:before="240" w:after="0"/>
        <w:jc w:val="right"/>
      </w:pPr>
      <w:r>
        <w:rPr>
          <w:rFonts w:ascii="Times New Roman" w:hAnsi="Times New Roman" w:eastAsia="Times New Roman"/>
        </w:rPr>
        <w:t>Преподаватель:</w:t>
      </w:r>
    </w:p>
    <w:p>
      <w:pPr>
        <w:spacing w:after="0"/>
        <w:jc w:val="right"/>
      </w:pPr>
      <w:r>
        <w:rPr>
          <w:rFonts w:ascii="Times New Roman" w:hAnsi="Times New Roman" w:eastAsia="Times New Roman"/>
        </w:rPr>
        <w:t>Гусарова Наталия Федоровна</w:t>
      </w:r>
    </w:p>
    <w:p>
      <w:pPr>
        <w:spacing w:before="2200" w:after="0"/>
        <w:jc w:val="center"/>
      </w:pPr>
      <w:r>
        <w:rPr>
          <w:rFonts w:ascii="Times New Roman" w:hAnsi="Times New Roman" w:eastAsia="Times New Roman"/>
        </w:rPr>
        <w:t>Санкт-Петербург</w:t>
      </w:r>
    </w:p>
    <w:p>
      <w:pPr>
        <w:spacing w:after="0"/>
        <w:jc w:val="center"/>
      </w:pPr>
      <w:r>
        <w:rPr>
          <w:rFonts w:ascii="Times New Roman" w:hAnsi="Times New Roman" w:eastAsia="Times New Roman"/>
        </w:rPr>
        <w:t>2026</w:t>
      </w:r>
    </w:p>
    <w:p>
      <w:r>
        <w:br w:type="page"/>
      </w:r>
    </w:p>
    <w:p>
      <w:pPr>
        <w:pStyle w:val="Heading1"/>
      </w:pPr>
      <w:r>
        <w:t>1. Данные</w:t>
      </w:r>
    </w:p>
    <w:p>
      <w:pPr>
        <w:jc w:val="both"/>
      </w:pPr>
      <w:r>
        <w:rPr>
          <w:rFonts w:ascii="Times New Roman" w:hAnsi="Times New Roman" w:eastAsia="Times New Roman"/>
        </w:rPr>
        <w:t>Данные синтетические (</w:t>
      </w:r>
      <w:r>
        <w:rPr>
          <w:rFonts w:ascii="Consolas" w:hAnsi="Consolas" w:eastAsia="Consolas"/>
          <w:sz w:val="22"/>
        </w:rPr>
        <w:t>make_data.py</w:t>
      </w:r>
      <w:r>
        <w:rPr>
          <w:rFonts w:ascii="Times New Roman" w:hAnsi="Times New Roman" w:eastAsia="Times New Roman"/>
        </w:rPr>
        <w:t>, seed 5): 30 документов и 100 вопросов. Каждый документ представляет собой справку о вымышленной организации одного из 15 типов (музей, завод, обсерватория, издательство и т.д.) в вымышленном городе. Выдуманные названия, люди и числа нужны, чтобы модель не могла ответить из общих знаний: ответ есть только в тексте.</w:t>
      </w:r>
    </w:p>
    <w:p>
      <w:pPr>
        <w:jc w:val="both"/>
      </w:pPr>
      <w:r>
        <w:rPr>
          <w:rFonts w:ascii="Times New Roman" w:hAnsi="Times New Roman" w:eastAsia="Times New Roman"/>
        </w:rPr>
        <w:t>Документ содержит от 23 до 48 абзацев, всего 1053 абзаца. Фактические абзацы описывают основание, смену директоров по периодам, численность сотрудников и бюджет по годам, адрес и переезд, реконструкцию, премии, филиалы и их руководителей, партнеров, посещаемость. Остальные абзацы составлены из фоновых предложений со словами «сотрудники», «руководство», «филиалы», «бюджет». Они создают лексический шум, похожий на реальные справки.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319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Тип вопроса</w:t>
            </w:r>
          </w:p>
        </w:tc>
        <w:tc>
          <w:tcPr>
            <w:tcW w:type="dxa" w:w="1095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Число</w:t>
            </w:r>
          </w:p>
        </w:tc>
        <w:tc>
          <w:tcPr>
            <w:tcW w:type="dxa" w:w="5224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Пример</w:t>
            </w:r>
          </w:p>
        </w:tc>
      </w:tr>
      <w:tr>
        <w:trPr>
          <w:cantSplit/>
        </w:trPr>
        <w:tc>
          <w:tcPr>
            <w:tcW w:type="dxa" w:w="331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Один доказательный абзац</w:t>
            </w:r>
          </w:p>
        </w:tc>
        <w:tc>
          <w:tcPr>
            <w:tcW w:type="dxa" w:w="109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60</w:t>
            </w:r>
          </w:p>
        </w:tc>
        <w:tc>
          <w:tcPr>
            <w:tcW w:type="dxa" w:w="5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Сколько сотрудников работало в музее «Лунный свет» в 2006 году?</w:t>
            </w:r>
          </w:p>
        </w:tc>
      </w:tr>
      <w:tr>
        <w:trPr>
          <w:cantSplit/>
        </w:trPr>
        <w:tc>
          <w:tcPr>
            <w:tcW w:type="dxa" w:w="331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Два доказательных абзаца</w:t>
            </w:r>
          </w:p>
        </w:tc>
        <w:tc>
          <w:tcPr>
            <w:tcW w:type="dxa" w:w="109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15</w:t>
            </w:r>
          </w:p>
        </w:tc>
        <w:tc>
          <w:tcPr>
            <w:tcW w:type="dxa" w:w="5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 каком городе работает филиал, которым руководит Марина Тарасова?</w:t>
            </w:r>
          </w:p>
        </w:tc>
      </w:tr>
      <w:tr>
        <w:trPr>
          <w:cantSplit/>
        </w:trPr>
        <w:tc>
          <w:tcPr>
            <w:tcW w:type="dxa" w:w="331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Без ответа в документе</w:t>
            </w:r>
          </w:p>
        </w:tc>
        <w:tc>
          <w:tcPr>
            <w:tcW w:type="dxa" w:w="109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25</w:t>
            </w:r>
          </w:p>
        </w:tc>
        <w:tc>
          <w:tcPr>
            <w:tcW w:type="dxa" w:w="52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Каким был годовой бюджет лаборатории «Морской узел» в 2011 году?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</w:rPr>
        <w:t>Вопросы без ответа сделаны трудными: они используют те же сущности и слова, что и документ, но спрашивают о годе, которого нет в тексте, о несуществующем филиале, о событии, которого не было, или о периоде до первого известного директора.</w:t>
      </w:r>
    </w:p>
    <w:p>
      <w:pPr>
        <w:jc w:val="both"/>
      </w:pPr>
      <w:r>
        <w:rPr>
          <w:rFonts w:ascii="Times New Roman" w:hAnsi="Times New Roman" w:eastAsia="Times New Roman"/>
          <w:b/>
        </w:rPr>
        <w:t>Разбиение.</w:t>
      </w:r>
      <w:r>
        <w:rPr>
          <w:rFonts w:ascii="Times New Roman" w:hAnsi="Times New Roman" w:eastAsia="Times New Roman"/>
        </w:rPr>
        <w:t xml:space="preserve"> Учебная часть содержит 70 вопросов (18 без ответа) с полями </w:t>
      </w:r>
      <w:r>
        <w:rPr>
          <w:rFonts w:ascii="Consolas" w:hAnsi="Consolas" w:eastAsia="Consolas"/>
          <w:sz w:val="22"/>
        </w:rPr>
        <w:t>answer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2"/>
        </w:rPr>
        <w:t>answer_key</w:t>
      </w:r>
      <w:r>
        <w:rPr>
          <w:rFonts w:ascii="Times New Roman" w:hAnsi="Times New Roman" w:eastAsia="Times New Roman"/>
        </w:rPr>
        <w:t xml:space="preserve"> и </w:t>
      </w:r>
      <w:r>
        <w:rPr>
          <w:rFonts w:ascii="Consolas" w:hAnsi="Consolas" w:eastAsia="Consolas"/>
          <w:sz w:val="22"/>
        </w:rPr>
        <w:t>evidence_ids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2"/>
        </w:rPr>
        <w:t>data/questions_train.jsonl</w:t>
      </w:r>
      <w:r>
        <w:rPr>
          <w:rFonts w:ascii="Times New Roman" w:hAnsi="Times New Roman" w:eastAsia="Times New Roman"/>
        </w:rPr>
        <w:t>). Тестовая часть содержит 30 вопросов (7 без ответа) и выдается без эталона (</w:t>
      </w:r>
      <w:r>
        <w:rPr>
          <w:rFonts w:ascii="Consolas" w:hAnsi="Consolas" w:eastAsia="Consolas"/>
          <w:sz w:val="22"/>
        </w:rPr>
        <w:t>data/questions_test.jsonl</w:t>
      </w:r>
      <w:r>
        <w:rPr>
          <w:rFonts w:ascii="Times New Roman" w:hAnsi="Times New Roman" w:eastAsia="Times New Roman"/>
        </w:rPr>
        <w:t xml:space="preserve">). Эталон теста лежит отдельно в </w:t>
      </w:r>
      <w:r>
        <w:rPr>
          <w:rFonts w:ascii="Consolas" w:hAnsi="Consolas" w:eastAsia="Consolas"/>
          <w:sz w:val="22"/>
        </w:rPr>
        <w:t>data/test_gold.jsonl</w:t>
      </w:r>
      <w:r>
        <w:rPr>
          <w:rFonts w:ascii="Times New Roman" w:hAnsi="Times New Roman" w:eastAsia="Times New Roman"/>
        </w:rPr>
        <w:t xml:space="preserve">, его читает только </w:t>
      </w:r>
      <w:r>
        <w:rPr>
          <w:rFonts w:ascii="Consolas" w:hAnsi="Consolas" w:eastAsia="Consolas"/>
          <w:sz w:val="22"/>
        </w:rPr>
        <w:t>evaluate.py</w:t>
      </w:r>
      <w:r>
        <w:rPr>
          <w:rFonts w:ascii="Times New Roman" w:hAnsi="Times New Roman" w:eastAsia="Times New Roman"/>
        </w:rPr>
        <w:t xml:space="preserve"> на финальной оценке. Промпт и параметры поиска подбирались только на учебной части.</w:t>
      </w:r>
    </w:p>
    <w:p>
      <w:pPr>
        <w:pStyle w:val="Heading1"/>
      </w:pPr>
      <w:r>
        <w:t>2. Сегментация и BM25</w:t>
      </w:r>
    </w:p>
    <w:p>
      <w:pPr>
        <w:jc w:val="both"/>
      </w:pPr>
      <w:r>
        <w:rPr>
          <w:rFonts w:ascii="Times New Roman" w:hAnsi="Times New Roman" w:eastAsia="Times New Roman"/>
          <w:b/>
        </w:rPr>
        <w:t>Сегментация.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Consolas" w:hAnsi="Consolas" w:eastAsia="Consolas"/>
          <w:sz w:val="22"/>
        </w:rPr>
        <w:t>retrieve.py</w:t>
      </w:r>
      <w:r>
        <w:rPr>
          <w:rFonts w:ascii="Times New Roman" w:hAnsi="Times New Roman" w:eastAsia="Times New Roman"/>
        </w:rPr>
        <w:t xml:space="preserve"> делит документ на абзацы по пустой строке и нумерует их с 1 в порядке следования. Идентификатор абзаца </w:t>
      </w:r>
      <w:r>
        <w:rPr>
          <w:rFonts w:ascii="Consolas" w:hAnsi="Consolas" w:eastAsia="Consolas"/>
          <w:sz w:val="22"/>
        </w:rPr>
        <w:t>(doc_id, para_id)</w:t>
      </w:r>
      <w:r>
        <w:rPr>
          <w:rFonts w:ascii="Times New Roman" w:hAnsi="Times New Roman" w:eastAsia="Times New Roman"/>
        </w:rPr>
        <w:t xml:space="preserve"> стабилен: он зависит только от текста документа, а не от вопроса или режима. Абзацы сохраняются в </w:t>
      </w:r>
      <w:r>
        <w:rPr>
          <w:rFonts w:ascii="Consolas" w:hAnsi="Consolas" w:eastAsia="Consolas"/>
          <w:sz w:val="22"/>
        </w:rPr>
        <w:t>data/paragraphs.jsonl</w:t>
      </w:r>
      <w:r>
        <w:rPr>
          <w:rFonts w:ascii="Times New Roman" w:hAnsi="Times New Roman" w:eastAsia="Times New Roman"/>
        </w:rPr>
        <w:t>. В режиме BM25 модели передаются исходные номера абзацев, без перенумерации. Тесты проверяют, что число абзацев совпадает с генератором, повторная сегментация дает те же id, а текст ответа содержится в доказательных абзацах.</w:t>
      </w:r>
    </w:p>
    <w:p>
      <w:pPr>
        <w:jc w:val="both"/>
      </w:pPr>
      <w:r>
        <w:rPr>
          <w:rFonts w:ascii="Times New Roman" w:hAnsi="Times New Roman" w:eastAsia="Times New Roman"/>
          <w:b/>
        </w:rPr>
        <w:t>Индекс.</w:t>
      </w:r>
      <w:r>
        <w:rPr>
          <w:rFonts w:ascii="Times New Roman" w:hAnsi="Times New Roman" w:eastAsia="Times New Roman"/>
        </w:rPr>
        <w:t xml:space="preserve"> Для каждого документа строится отдельный </w:t>
      </w:r>
      <w:r>
        <w:rPr>
          <w:rFonts w:ascii="Consolas" w:hAnsi="Consolas" w:eastAsia="Consolas"/>
          <w:sz w:val="22"/>
        </w:rPr>
        <w:t>BM25Okapi</w:t>
      </w:r>
      <w:r>
        <w:rPr>
          <w:rFonts w:ascii="Times New Roman" w:hAnsi="Times New Roman" w:eastAsia="Times New Roman"/>
        </w:rPr>
        <w:t xml:space="preserve"> (rank-bm25): вопрос относится к конкретному документу, как и в режиме полного документа. Токенизация razdel, нижний регистр, буква «е» с точками приводится к «е». Для борьбы с русской морфологией слово обрезается до первых k символов (псевдооснова). Длина k выбрана на учебной части: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368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Псевдооснова</w:t>
            </w:r>
          </w:p>
        </w:tc>
        <w:tc>
          <w:tcPr>
            <w:tcW w:type="dxa" w:w="2521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Recall@5 (train)</w:t>
            </w:r>
          </w:p>
        </w:tc>
        <w:tc>
          <w:tcPr>
            <w:tcW w:type="dxa" w:w="3749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Все доказательства в top-5 (train)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нет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88,5%</w:t>
            </w:r>
          </w:p>
        </w:tc>
        <w:tc>
          <w:tcPr>
            <w:tcW w:type="dxa" w:w="37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86,5%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4 символа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86,5%</w:t>
            </w:r>
          </w:p>
        </w:tc>
        <w:tc>
          <w:tcPr>
            <w:tcW w:type="dxa" w:w="37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80,8%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5 символов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86,5%</w:t>
            </w:r>
          </w:p>
        </w:tc>
        <w:tc>
          <w:tcPr>
            <w:tcW w:type="dxa" w:w="37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80,8%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6 символов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85,6%</w:t>
            </w:r>
          </w:p>
        </w:tc>
        <w:tc>
          <w:tcPr>
            <w:tcW w:type="dxa" w:w="37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78,8%</w:t>
            </w:r>
          </w:p>
        </w:tc>
      </w:tr>
      <w:tr>
        <w:trPr>
          <w:cantSplit/>
        </w:trPr>
        <w:tc>
          <w:tcPr>
            <w:tcW w:type="dxa" w:w="336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7 символов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91,3%</w:t>
            </w:r>
          </w:p>
        </w:tc>
        <w:tc>
          <w:tcPr>
            <w:tcW w:type="dxa" w:w="37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90,4%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</w:rPr>
        <w:t>Короткая псевдооснова склеивает разные слова: при k = 4 совпадают «численность» и «число», при k = 4 и 5 совпадают «открылся» (об открытии филиала) и «открытые» (из фоновой фразы «открытые лекции»). При k = 7 эти слова различаются, а формы одного слова («переехал», «переехала») по-прежнему совпадают. Зависимость от k немонотонна, поэтому выбрано лучшее значение на train: k = 7.</w:t>
      </w:r>
    </w:p>
    <w:p>
      <w:pPr>
        <w:jc w:val="both"/>
      </w:pPr>
      <w:r>
        <w:rPr>
          <w:rFonts w:ascii="Times New Roman" w:hAnsi="Times New Roman" w:eastAsia="Times New Roman"/>
          <w:b/>
        </w:rPr>
        <w:t>Recall доказательных абзацев в top-5 до подключения LLM</w:t>
      </w:r>
      <w:r>
        <w:rPr>
          <w:rFonts w:ascii="Times New Roman" w:hAnsi="Times New Roman" w:eastAsia="Times New Roman"/>
        </w:rPr>
        <w:t xml:space="preserve"> (только вопросы с ответом):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669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Часть</w:t>
            </w:r>
          </w:p>
        </w:tc>
        <w:tc>
          <w:tcPr>
            <w:tcW w:type="dxa" w:w="1585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Вопросов</w:t>
            </w:r>
          </w:p>
        </w:tc>
        <w:tc>
          <w:tcPr>
            <w:tcW w:type="dxa" w:w="1839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Recall@5</w:t>
            </w:r>
          </w:p>
        </w:tc>
        <w:tc>
          <w:tcPr>
            <w:tcW w:type="dxa" w:w="2858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Все доказательства в top-5</w:t>
            </w:r>
          </w:p>
        </w:tc>
        <w:tc>
          <w:tcPr>
            <w:tcW w:type="dxa" w:w="1685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Хотя бы одно в top-5</w:t>
            </w:r>
          </w:p>
        </w:tc>
      </w:tr>
      <w:tr>
        <w:trPr>
          <w:cantSplit/>
        </w:trPr>
        <w:tc>
          <w:tcPr>
            <w:tcW w:type="dxa" w:w="16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train</w:t>
            </w:r>
          </w:p>
        </w:tc>
        <w:tc>
          <w:tcPr>
            <w:tcW w:type="dxa" w:w="15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52</w:t>
            </w:r>
          </w:p>
        </w:tc>
        <w:tc>
          <w:tcPr>
            <w:tcW w:type="dxa" w:w="183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91,3%</w:t>
            </w:r>
          </w:p>
        </w:tc>
        <w:tc>
          <w:tcPr>
            <w:tcW w:type="dxa" w:w="28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90,4%</w:t>
            </w:r>
          </w:p>
        </w:tc>
        <w:tc>
          <w:tcPr>
            <w:tcW w:type="dxa" w:w="16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92,3%</w:t>
            </w:r>
          </w:p>
        </w:tc>
      </w:tr>
      <w:tr>
        <w:trPr>
          <w:cantSplit/>
        </w:trPr>
        <w:tc>
          <w:tcPr>
            <w:tcW w:type="dxa" w:w="16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test</w:t>
            </w:r>
          </w:p>
        </w:tc>
        <w:tc>
          <w:tcPr>
            <w:tcW w:type="dxa" w:w="15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23</w:t>
            </w:r>
          </w:p>
        </w:tc>
        <w:tc>
          <w:tcPr>
            <w:tcW w:type="dxa" w:w="183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82,6%</w:t>
            </w:r>
          </w:p>
        </w:tc>
        <w:tc>
          <w:tcPr>
            <w:tcW w:type="dxa" w:w="28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82,6%</w:t>
            </w:r>
          </w:p>
        </w:tc>
        <w:tc>
          <w:tcPr>
            <w:tcW w:type="dxa" w:w="16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82,6%</w:t>
            </w:r>
          </w:p>
        </w:tc>
      </w:tr>
      <w:tr>
        <w:trPr>
          <w:cantSplit/>
        </w:trPr>
        <w:tc>
          <w:tcPr>
            <w:tcW w:type="dxa" w:w="16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все</w:t>
            </w:r>
          </w:p>
        </w:tc>
        <w:tc>
          <w:tcPr>
            <w:tcW w:type="dxa" w:w="15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75</w:t>
            </w:r>
          </w:p>
        </w:tc>
        <w:tc>
          <w:tcPr>
            <w:tcW w:type="dxa" w:w="183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88,7%</w:t>
            </w:r>
          </w:p>
        </w:tc>
        <w:tc>
          <w:tcPr>
            <w:tcW w:type="dxa" w:w="28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88,0%</w:t>
            </w:r>
          </w:p>
        </w:tc>
        <w:tc>
          <w:tcPr>
            <w:tcW w:type="dxa" w:w="16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89,3%</w:t>
            </w:r>
          </w:p>
        </w:tc>
      </w:tr>
      <w:tr>
        <w:trPr>
          <w:cantSplit/>
        </w:trPr>
        <w:tc>
          <w:tcPr>
            <w:tcW w:type="dxa" w:w="16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один абзац</w:t>
            </w:r>
          </w:p>
        </w:tc>
        <w:tc>
          <w:tcPr>
            <w:tcW w:type="dxa" w:w="15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60</w:t>
            </w:r>
          </w:p>
        </w:tc>
        <w:tc>
          <w:tcPr>
            <w:tcW w:type="dxa" w:w="183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90,0%</w:t>
            </w:r>
          </w:p>
        </w:tc>
        <w:tc>
          <w:tcPr>
            <w:tcW w:type="dxa" w:w="28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90,0%</w:t>
            </w:r>
          </w:p>
        </w:tc>
        <w:tc>
          <w:tcPr>
            <w:tcW w:type="dxa" w:w="16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90,0%</w:t>
            </w:r>
          </w:p>
        </w:tc>
      </w:tr>
      <w:tr>
        <w:trPr>
          <w:cantSplit/>
        </w:trPr>
        <w:tc>
          <w:tcPr>
            <w:tcW w:type="dxa" w:w="166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два абзаца</w:t>
            </w:r>
          </w:p>
        </w:tc>
        <w:tc>
          <w:tcPr>
            <w:tcW w:type="dxa" w:w="15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15</w:t>
            </w:r>
          </w:p>
        </w:tc>
        <w:tc>
          <w:tcPr>
            <w:tcW w:type="dxa" w:w="183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83,3%</w:t>
            </w:r>
          </w:p>
        </w:tc>
        <w:tc>
          <w:tcPr>
            <w:tcW w:type="dxa" w:w="28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80,0%</w:t>
            </w:r>
          </w:p>
        </w:tc>
        <w:tc>
          <w:tcPr>
            <w:tcW w:type="dxa" w:w="168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86,7%</w:t>
            </w:r>
          </w:p>
        </w:tc>
      </w:tr>
    </w:tbl>
    <w:p>
      <w:pPr>
        <w:spacing w:after="0"/>
      </w:pPr>
    </w:p>
    <w:p>
      <w:pPr>
        <w:pStyle w:val="Heading1"/>
      </w:pPr>
      <w:r>
        <w:t>3. Промпт и генерация</w:t>
      </w:r>
    </w:p>
    <w:p>
      <w:pPr>
        <w:jc w:val="both"/>
      </w:pPr>
      <w:r>
        <w:rPr>
          <w:rFonts w:ascii="Times New Roman" w:hAnsi="Times New Roman" w:eastAsia="Times New Roman"/>
        </w:rPr>
        <w:t>Используется один промпт (</w:t>
      </w:r>
      <w:r>
        <w:rPr>
          <w:rFonts w:ascii="Consolas" w:hAnsi="Consolas" w:eastAsia="Consolas"/>
          <w:sz w:val="22"/>
        </w:rPr>
        <w:t>prompt.txt</w:t>
      </w:r>
      <w:r>
        <w:rPr>
          <w:rFonts w:ascii="Times New Roman" w:hAnsi="Times New Roman" w:eastAsia="Times New Roman"/>
        </w:rPr>
        <w:t xml:space="preserve">) для обоих режимов. Режимы различаются только блоком фрагментов: весь документ или пять абзацев BM25 в порядке документа. Каждый фрагмент имеет вид </w:t>
      </w:r>
      <w:r>
        <w:rPr>
          <w:rFonts w:ascii="Consolas" w:hAnsi="Consolas" w:eastAsia="Consolas"/>
          <w:sz w:val="22"/>
        </w:rPr>
        <w:t>[номер] текст</w:t>
      </w:r>
      <w:r>
        <w:rPr>
          <w:rFonts w:ascii="Times New Roman" w:hAnsi="Times New Roman" w:eastAsia="Times New Roman"/>
        </w:rPr>
        <w:t>. Промпт требует отвечать только по фрагментам, разрешает отказ (</w:t>
      </w:r>
      <w:r>
        <w:rPr>
          <w:rFonts w:ascii="Consolas" w:hAnsi="Consolas" w:eastAsia="Consolas"/>
          <w:sz w:val="22"/>
        </w:rPr>
        <w:t>answer = null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2"/>
        </w:rPr>
        <w:t>evidence_ids = []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2"/>
        </w:rPr>
        <w:t>answerable = false</w:t>
      </w:r>
      <w:r>
        <w:rPr>
          <w:rFonts w:ascii="Times New Roman" w:hAnsi="Times New Roman" w:eastAsia="Times New Roman"/>
        </w:rPr>
        <w:t>), требует номера доказательных фрагментов и возврат JSON заданного формата.</w:t>
      </w:r>
    </w:p>
    <w:p>
      <w:pPr>
        <w:jc w:val="both"/>
      </w:pPr>
      <w:r>
        <w:rPr>
          <w:rFonts w:ascii="Times New Roman" w:hAnsi="Times New Roman" w:eastAsia="Times New Roman"/>
          <w:b/>
        </w:rPr>
        <w:t>LLM.</w:t>
      </w:r>
      <w:r>
        <w:rPr>
          <w:rFonts w:ascii="Times New Roman" w:hAnsi="Times New Roman" w:eastAsia="Times New Roman"/>
        </w:rPr>
        <w:t xml:space="preserve"> qwen2.5 7B (Q4_K_M) локально через Ollama 0.34.4 на RTX 3070 Laptop, temperature 0, seed 42, окно 16384 токена, режим </w:t>
      </w:r>
      <w:r>
        <w:rPr>
          <w:rFonts w:ascii="Consolas" w:hAnsi="Consolas" w:eastAsia="Consolas"/>
          <w:sz w:val="22"/>
        </w:rPr>
        <w:t>format: json</w:t>
      </w:r>
      <w:r>
        <w:rPr>
          <w:rFonts w:ascii="Times New Roman" w:hAnsi="Times New Roman" w:eastAsia="Times New Roman"/>
        </w:rPr>
        <w:t>. Самый длинный документ занимает около 2800 токенов, поэтому полный документ помещается в окно целиком.</w:t>
      </w:r>
    </w:p>
    <w:p>
      <w:pPr>
        <w:jc w:val="both"/>
      </w:pPr>
      <w:r>
        <w:rPr>
          <w:rFonts w:ascii="Times New Roman" w:hAnsi="Times New Roman" w:eastAsia="Times New Roman"/>
          <w:b/>
        </w:rPr>
        <w:t>Проверка ответа</w:t>
      </w:r>
      <w:r>
        <w:rPr>
          <w:rFonts w:ascii="Times New Roman" w:hAnsi="Times New Roman" w:eastAsia="Times New Roman"/>
        </w:rPr>
        <w:t xml:space="preserve"> (</w:t>
      </w:r>
      <w:r>
        <w:rPr>
          <w:rFonts w:ascii="Consolas" w:hAnsi="Consolas" w:eastAsia="Consolas"/>
          <w:sz w:val="22"/>
        </w:rPr>
        <w:t>generate.py</w:t>
      </w:r>
      <w:r>
        <w:rPr>
          <w:rFonts w:ascii="Times New Roman" w:hAnsi="Times New Roman" w:eastAsia="Times New Roman"/>
        </w:rPr>
        <w:t>):</w:t>
      </w:r>
    </w:p>
    <w:p>
      <w:pPr>
        <w:pStyle w:val="ListNumber"/>
      </w:pPr>
      <w:r>
        <w:rPr>
          <w:rFonts w:ascii="Consolas" w:hAnsi="Consolas" w:eastAsia="Consolas"/>
          <w:sz w:val="22"/>
        </w:rPr>
        <w:t>json.loads</w:t>
      </w:r>
      <w:r>
        <w:rPr>
          <w:rFonts w:ascii="Times New Roman" w:hAnsi="Times New Roman" w:eastAsia="Times New Roman"/>
        </w:rPr>
        <w:t>;</w:t>
      </w:r>
    </w:p>
    <w:p>
      <w:pPr>
        <w:pStyle w:val="ListNumber"/>
      </w:pPr>
      <w:r>
        <w:rPr>
          <w:rFonts w:ascii="Times New Roman" w:hAnsi="Times New Roman" w:eastAsia="Times New Roman"/>
        </w:rPr>
        <w:t xml:space="preserve">строгая модель Pydantic: </w:t>
      </w:r>
      <w:r>
        <w:rPr>
          <w:rFonts w:ascii="Consolas" w:hAnsi="Consolas" w:eastAsia="Consolas"/>
          <w:sz w:val="22"/>
        </w:rPr>
        <w:t>answer: str | None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2"/>
        </w:rPr>
        <w:t>evidence_ids: list[int]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2"/>
        </w:rPr>
        <w:t>answerable: bool</w:t>
      </w:r>
      <w:r>
        <w:rPr>
          <w:rFonts w:ascii="Times New Roman" w:hAnsi="Times New Roman" w:eastAsia="Times New Roman"/>
        </w:rPr>
        <w:t>, без лишних полей;</w:t>
      </w:r>
    </w:p>
    <w:p>
      <w:pPr>
        <w:pStyle w:val="ListNumber"/>
      </w:pPr>
      <w:r>
        <w:rPr>
          <w:rFonts w:ascii="Times New Roman" w:hAnsi="Times New Roman" w:eastAsia="Times New Roman"/>
        </w:rPr>
        <w:t xml:space="preserve">при неудаче мягкая проверка с приведением числа к строке, такой ответ помечается флагом </w:t>
      </w:r>
      <w:r>
        <w:rPr>
          <w:rFonts w:ascii="Consolas" w:hAnsi="Consolas" w:eastAsia="Consolas"/>
          <w:sz w:val="22"/>
        </w:rPr>
        <w:t>coerced</w:t>
      </w:r>
      <w:r>
        <w:rPr>
          <w:rFonts w:ascii="Times New Roman" w:hAnsi="Times New Roman" w:eastAsia="Times New Roman"/>
        </w:rPr>
        <w:t>;</w:t>
      </w:r>
    </w:p>
    <w:p>
      <w:pPr>
        <w:pStyle w:val="ListNumber"/>
      </w:pPr>
      <w:r>
        <w:rPr>
          <w:rFonts w:ascii="Times New Roman" w:hAnsi="Times New Roman" w:eastAsia="Times New Roman"/>
        </w:rPr>
        <w:t xml:space="preserve">все </w:t>
      </w:r>
      <w:r>
        <w:rPr>
          <w:rFonts w:ascii="Consolas" w:hAnsi="Consolas" w:eastAsia="Consolas"/>
          <w:sz w:val="22"/>
        </w:rPr>
        <w:t>evidence_ids</w:t>
      </w:r>
      <w:r>
        <w:rPr>
          <w:rFonts w:ascii="Times New Roman" w:hAnsi="Times New Roman" w:eastAsia="Times New Roman"/>
        </w:rPr>
        <w:t xml:space="preserve"> должны входить в переданный контекст;</w:t>
      </w:r>
    </w:p>
    <w:p>
      <w:pPr>
        <w:pStyle w:val="ListNumber"/>
      </w:pPr>
      <w:r>
        <w:rPr>
          <w:rFonts w:ascii="Times New Roman" w:hAnsi="Times New Roman" w:eastAsia="Times New Roman"/>
        </w:rPr>
        <w:t xml:space="preserve">согласованность полей: при </w:t>
      </w:r>
      <w:r>
        <w:rPr>
          <w:rFonts w:ascii="Consolas" w:hAnsi="Consolas" w:eastAsia="Consolas"/>
          <w:sz w:val="22"/>
        </w:rPr>
        <w:t>answerable = true</w:t>
      </w:r>
      <w:r>
        <w:rPr>
          <w:rFonts w:ascii="Times New Roman" w:hAnsi="Times New Roman" w:eastAsia="Times New Roman"/>
        </w:rPr>
        <w:t xml:space="preserve"> есть ответ и доказательства, при </w:t>
      </w:r>
      <w:r>
        <w:rPr>
          <w:rFonts w:ascii="Consolas" w:hAnsi="Consolas" w:eastAsia="Consolas"/>
          <w:sz w:val="22"/>
        </w:rPr>
        <w:t>false</w:t>
      </w:r>
      <w:r>
        <w:rPr>
          <w:rFonts w:ascii="Times New Roman" w:hAnsi="Times New Roman" w:eastAsia="Times New Roman"/>
        </w:rPr>
        <w:t xml:space="preserve"> ответ </w:t>
      </w:r>
      <w:r>
        <w:rPr>
          <w:rFonts w:ascii="Consolas" w:hAnsi="Consolas" w:eastAsia="Consolas"/>
          <w:sz w:val="22"/>
        </w:rPr>
        <w:t>null</w:t>
      </w:r>
      <w:r>
        <w:rPr>
          <w:rFonts w:ascii="Times New Roman" w:hAnsi="Times New Roman" w:eastAsia="Times New Roman"/>
        </w:rPr>
        <w:t xml:space="preserve"> и список пуст.</w:t>
      </w:r>
    </w:p>
    <w:p>
      <w:pPr>
        <w:jc w:val="both"/>
      </w:pPr>
      <w:r>
        <w:rPr>
          <w:rFonts w:ascii="Times New Roman" w:hAnsi="Times New Roman" w:eastAsia="Times New Roman"/>
        </w:rPr>
        <w:t>На учебной части первая версия промпта дала две проблемы формата: модель возвращала число (</w:t>
      </w:r>
      <w:r>
        <w:rPr>
          <w:rFonts w:ascii="Consolas" w:hAnsi="Consolas" w:eastAsia="Consolas"/>
          <w:sz w:val="22"/>
        </w:rPr>
        <w:t>"answer": 888</w:t>
      </w:r>
      <w:r>
        <w:rPr>
          <w:rFonts w:ascii="Times New Roman" w:hAnsi="Times New Roman" w:eastAsia="Times New Roman"/>
        </w:rPr>
        <w:t xml:space="preserve">), а после уточнения писала отказ строкой </w:t>
      </w:r>
      <w:r>
        <w:rPr>
          <w:rFonts w:ascii="Consolas" w:hAnsi="Consolas" w:eastAsia="Consolas"/>
          <w:sz w:val="22"/>
        </w:rPr>
        <w:t>"null"</w:t>
      </w:r>
      <w:r>
        <w:rPr>
          <w:rFonts w:ascii="Times New Roman" w:hAnsi="Times New Roman" w:eastAsia="Times New Roman"/>
        </w:rPr>
        <w:t xml:space="preserve">. Правило 5 в промпте устранило обе проблемы. В финальном прогоне все 200 ответов прошли строгую схему, и все </w:t>
      </w:r>
      <w:r>
        <w:rPr>
          <w:rFonts w:ascii="Consolas" w:hAnsi="Consolas" w:eastAsia="Consolas"/>
          <w:sz w:val="22"/>
        </w:rPr>
        <w:t>evidence_ids</w:t>
      </w:r>
      <w:r>
        <w:rPr>
          <w:rFonts w:ascii="Times New Roman" w:hAnsi="Times New Roman" w:eastAsia="Times New Roman"/>
        </w:rPr>
        <w:t xml:space="preserve"> взяты из контекста. Проверку согласованности не прошли 2 ответа (по одному в каждом режиме), они разобраны ниже.</w:t>
      </w:r>
    </w:p>
    <w:p>
      <w:pPr>
        <w:jc w:val="both"/>
      </w:pPr>
      <w:r>
        <w:rPr>
          <w:rFonts w:ascii="Times New Roman" w:hAnsi="Times New Roman" w:eastAsia="Times New Roman"/>
          <w:b/>
        </w:rPr>
        <w:t>Время и токены.</w:t>
      </w:r>
      <w:r>
        <w:rPr>
          <w:rFonts w:ascii="Times New Roman" w:hAnsi="Times New Roman" w:eastAsia="Times New Roman"/>
        </w:rPr>
        <w:t xml:space="preserve"> Время измеряется по часам клиента вокруг запроса. Токены берутся из ответа Ollama (</w:t>
      </w:r>
      <w:r>
        <w:rPr>
          <w:rFonts w:ascii="Consolas" w:hAnsi="Consolas" w:eastAsia="Consolas"/>
          <w:sz w:val="22"/>
        </w:rPr>
        <w:t>prompt_eval_count</w:t>
      </w:r>
      <w:r>
        <w:rPr>
          <w:rFonts w:ascii="Times New Roman" w:hAnsi="Times New Roman" w:eastAsia="Times New Roman"/>
        </w:rPr>
        <w:t xml:space="preserve">, </w:t>
      </w:r>
      <w:r>
        <w:rPr>
          <w:rFonts w:ascii="Consolas" w:hAnsi="Consolas" w:eastAsia="Consolas"/>
          <w:sz w:val="22"/>
        </w:rPr>
        <w:t>eval_count</w:t>
      </w:r>
      <w:r>
        <w:rPr>
          <w:rFonts w:ascii="Times New Roman" w:hAnsi="Times New Roman" w:eastAsia="Times New Roman"/>
        </w:rPr>
        <w:t>). Модель прогрета заранее. Режимы чередуются по вопросам, поэтому кэш Ollama не переиспользует документ предыдущего вопроса.</w:t>
      </w:r>
    </w:p>
    <w:p>
      <w:pPr>
        <w:pStyle w:val="Heading1"/>
      </w:pPr>
      <w:r>
        <w:t>4. Сравнение режимов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5543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Метрика</w:t>
            </w:r>
          </w:p>
        </w:tc>
        <w:tc>
          <w:tcPr>
            <w:tcW w:type="dxa" w:w="2261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Полный документ</w:t>
            </w:r>
          </w:p>
        </w:tc>
        <w:tc>
          <w:tcPr>
            <w:tcW w:type="dxa" w:w="1834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BM25 top-5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Точность ответа на вопросы с ответом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80,0%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77,3%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Общая точность (вопросы без ответа считаются верными при отказе)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85,0%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83,0%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Точность ответа, train / test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84,6% / 69,6%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80,8% / 69,6%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Evidence precision / recall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93,4% / 94,3%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95,8% / 94,2%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Evidence точное совпадение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83,6%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90,0%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Доля отказов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39%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40%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Верные отказы на вопросах без ответа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25 из 25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25 из 25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Ложные отказы на вопросах с ответом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18,7%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20,0%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Точность answerable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86%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85%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Время на вопрос, с (среднее)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1,46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0,75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Токены промпта на вопрос (среднее)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2161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637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Токены ответа на вопрос (среднее)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23,8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23,5</w:t>
            </w:r>
          </w:p>
        </w:tc>
      </w:tr>
      <w:tr>
        <w:trPr>
          <w:cantSplit/>
        </w:trPr>
        <w:tc>
          <w:tcPr>
            <w:tcW w:type="dxa" w:w="554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Токены всего</w:t>
            </w:r>
          </w:p>
        </w:tc>
        <w:tc>
          <w:tcPr>
            <w:tcW w:type="dxa" w:w="226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218 438</w:t>
            </w:r>
          </w:p>
        </w:tc>
        <w:tc>
          <w:tcPr>
            <w:tcW w:type="dxa" w:w="183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66 023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</w:rPr>
        <w:t>Полный документ точнее на 2,7 п.п., но BM25 вдвое быстрее и расходует в 3,4 раза меньше токенов. Доказательства в режиме BM25 точнее: в коротком контексте меньше похожих абзацев, на которые модель ссылается лишний раз. На тесте точность ниже, чем на train, в обоих режимах одинаково. Тест оказался труднее: retrieval там хуже (82,6% против 91,3%), а доля вопросов о директоре в заданном году или в год события вдвое выше (6 из 23 против 7 из 52).</w:t>
      </w:r>
    </w:p>
    <w:p>
      <w:pPr>
        <w:jc w:val="both"/>
      </w:pPr>
      <w:r>
        <w:rPr>
          <w:rFonts w:ascii="Times New Roman" w:hAnsi="Times New Roman" w:eastAsia="Times New Roman"/>
        </w:rPr>
        <w:t>Из 75 вопросов с ответом оба режима верно ответили на 53, только полный документ на 7, только BM25 на 5, оба ошиблись на 10. В полном режиме 15 ошибок: 14 ложных отказов и 1 неверный ответ. В режиме BM25 17 ошибок, из них 9 вызваны тем, что доказательства не попали в top-5 целиком (ни на одном из этих вопросов BM25-режим не ответил верно). Остальные 8 ошибок допустила LLM при правильном абзаце в контексте.</w:t>
      </w:r>
    </w:p>
    <w:p>
      <w:pPr>
        <w:jc w:val="both"/>
      </w:pPr>
      <w:r>
        <w:rPr>
          <w:rFonts w:ascii="Times New Roman" w:hAnsi="Times New Roman" w:eastAsia="Times New Roman"/>
        </w:rPr>
        <w:t>Точность сильно зависит от типа вопроса: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3467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Группа вопросов</w:t>
            </w:r>
          </w:p>
        </w:tc>
        <w:tc>
          <w:tcPr>
            <w:tcW w:type="dxa" w:w="1478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Вопросов</w:t>
            </w:r>
          </w:p>
        </w:tc>
        <w:tc>
          <w:tcPr>
            <w:tcW w:type="dxa" w:w="1724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Полный документ</w:t>
            </w:r>
          </w:p>
        </w:tc>
        <w:tc>
          <w:tcPr>
            <w:tcW w:type="dxa" w:w="1332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BM25 top-5</w:t>
            </w:r>
          </w:p>
        </w:tc>
        <w:tc>
          <w:tcPr>
            <w:tcW w:type="dxa" w:w="1636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Recall@5</w:t>
            </w:r>
          </w:p>
        </w:tc>
      </w:tr>
      <w:tr>
        <w:trPr>
          <w:cantSplit/>
        </w:trPr>
        <w:tc>
          <w:tcPr>
            <w:tcW w:type="dxa" w:w="346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Директор в заданном году или в год события</w:t>
            </w:r>
          </w:p>
        </w:tc>
        <w:tc>
          <w:tcPr>
            <w:tcW w:type="dxa" w:w="14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13</w:t>
            </w:r>
          </w:p>
        </w:tc>
        <w:tc>
          <w:tcPr>
            <w:tcW w:type="dxa" w:w="17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0%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23,1%</w:t>
            </w:r>
          </w:p>
        </w:tc>
        <w:tc>
          <w:tcPr>
            <w:tcW w:type="dxa" w:w="163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57,7%</w:t>
            </w:r>
          </w:p>
        </w:tc>
      </w:tr>
      <w:tr>
        <w:trPr>
          <w:cantSplit/>
        </w:trPr>
        <w:tc>
          <w:tcPr>
            <w:tcW w:type="dxa" w:w="346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Город филиала по его руководителю</w:t>
            </w:r>
          </w:p>
        </w:tc>
        <w:tc>
          <w:tcPr>
            <w:tcW w:type="dxa" w:w="14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17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87,5%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62,5%</w:t>
            </w:r>
          </w:p>
        </w:tc>
        <w:tc>
          <w:tcPr>
            <w:tcW w:type="dxa" w:w="163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346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Остальные</w:t>
            </w:r>
          </w:p>
        </w:tc>
        <w:tc>
          <w:tcPr>
            <w:tcW w:type="dxa" w:w="147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54</w:t>
            </w:r>
          </w:p>
        </w:tc>
        <w:tc>
          <w:tcPr>
            <w:tcW w:type="dxa" w:w="1724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98,1%</w:t>
            </w:r>
          </w:p>
        </w:tc>
        <w:tc>
          <w:tcPr>
            <w:tcW w:type="dxa" w:w="133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92,6%</w:t>
            </w:r>
          </w:p>
        </w:tc>
        <w:tc>
          <w:tcPr>
            <w:tcW w:type="dxa" w:w="163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94,4%</w:t>
            </w:r>
          </w:p>
        </w:tc>
      </w:tr>
    </w:tbl>
    <w:p>
      <w:pPr>
        <w:spacing w:after="0"/>
      </w:pPr>
    </w:p>
    <w:p>
      <w:pPr>
        <w:pStyle w:val="Heading1"/>
      </w:pPr>
      <w:r>
        <w:t>5. Разбор ошибок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Полный список найденных ошибок: </w:t>
      </w:r>
      <w:r>
        <w:rPr>
          <w:rFonts w:ascii="Consolas" w:hAnsi="Consolas" w:eastAsia="Consolas"/>
          <w:sz w:val="22"/>
        </w:rPr>
        <w:t>results/error_candidates.csv</w:t>
      </w:r>
      <w:r>
        <w:rPr>
          <w:rFonts w:ascii="Times New Roman" w:hAnsi="Times New Roman" w:eastAsia="Times New Roman"/>
        </w:rPr>
        <w:t xml:space="preserve">. Пятнадцать разобранных примеров с причинами: </w:t>
      </w:r>
      <w:r>
        <w:rPr>
          <w:rFonts w:ascii="Consolas" w:hAnsi="Consolas" w:eastAsia="Consolas"/>
          <w:sz w:val="22"/>
        </w:rPr>
        <w:t>results/error_analysis.csv</w:t>
      </w:r>
      <w:r>
        <w:rPr>
          <w:rFonts w:ascii="Times New Roman" w:hAnsi="Times New Roman" w:eastAsia="Times New Roman"/>
        </w:rPr>
        <w:t>.</w:t>
      </w:r>
    </w:p>
    <w:p>
      <w:pPr>
        <w:pStyle w:val="Heading2"/>
      </w:pPr>
      <w:r>
        <w:t>5.1. Ошибки retrieval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381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732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Вопрос</w:t>
            </w:r>
          </w:p>
        </w:tc>
        <w:tc>
          <w:tcPr>
            <w:tcW w:type="dxa" w:w="1649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Эталон, абзацы</w:t>
            </w:r>
          </w:p>
        </w:tc>
        <w:tc>
          <w:tcPr>
            <w:tcW w:type="dxa" w:w="1098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Top-5 BM25</w:t>
            </w:r>
          </w:p>
        </w:tc>
        <w:tc>
          <w:tcPr>
            <w:tcW w:type="dxa" w:w="3777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Причина</w:t>
            </w:r>
          </w:p>
        </w:tc>
      </w:tr>
      <w:tr>
        <w:trPr>
          <w:cantSplit/>
        </w:trPr>
        <w:tc>
          <w:tcPr>
            <w:tcW w:type="dxa" w:w="38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273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q012: Какой адрес у технопарка «Ясный полдень»?</w:t>
            </w:r>
          </w:p>
        </w:tc>
        <w:tc>
          <w:tcPr>
            <w:tcW w:type="dxa" w:w="16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улица Озерная, 72; [8]</w:t>
            </w:r>
          </w:p>
        </w:tc>
        <w:tc>
          <w:tcPr>
            <w:tcW w:type="dxa" w:w="109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1, 16, 21, 20, 10</w:t>
            </w:r>
          </w:p>
        </w:tc>
        <w:tc>
          <w:tcPr>
            <w:tcW w:type="dxa" w:w="377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 абзаце нет слова «адрес»: «располагается на улице Озерной, дом 72». Название организации есть почти в каждом абзаце, поэтому первым идет заголовок</w:t>
            </w:r>
          </w:p>
        </w:tc>
      </w:tr>
      <w:tr>
        <w:trPr>
          <w:cantSplit/>
        </w:trPr>
        <w:tc>
          <w:tcPr>
            <w:tcW w:type="dxa" w:w="38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273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q020: Где располагалось издательство «Синяя гора» раньше, до смены здания?</w:t>
            </w:r>
          </w:p>
        </w:tc>
        <w:tc>
          <w:tcPr>
            <w:tcW w:type="dxa" w:w="16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улица Северная; [8]</w:t>
            </w:r>
          </w:p>
        </w:tc>
        <w:tc>
          <w:tcPr>
            <w:tcW w:type="dxa" w:w="109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6, 7, 4, 3, 1</w:t>
            </w:r>
          </w:p>
        </w:tc>
        <w:tc>
          <w:tcPr>
            <w:tcW w:type="dxa" w:w="377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Парафраз: «до смены здания» против «переехало с улицы Северной». Ошибка поиска перешла в неверный ответ «Светлоярск» (город основания) вместо отказа</w:t>
            </w:r>
          </w:p>
        </w:tc>
      </w:tr>
      <w:tr>
        <w:trPr>
          <w:cantSplit/>
        </w:trPr>
        <w:tc>
          <w:tcPr>
            <w:tcW w:type="dxa" w:w="38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273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q048: Кто считается основателем института «Горный хрусталь»?</w:t>
            </w:r>
          </w:p>
        </w:tc>
        <w:tc>
          <w:tcPr>
            <w:tcW w:type="dxa" w:w="16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Григорий Горбунов; [2]</w:t>
            </w:r>
          </w:p>
        </w:tc>
        <w:tc>
          <w:tcPr>
            <w:tcW w:type="dxa" w:w="109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1, 28, 11, 15, 9</w:t>
            </w:r>
          </w:p>
        </w:tc>
        <w:tc>
          <w:tcPr>
            <w:tcW w:type="dxa" w:w="377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Синонимия: в абзаце «Григорий Горбунов открыл институт», слова «основатель» нет</w:t>
            </w:r>
          </w:p>
        </w:tc>
      </w:tr>
      <w:tr>
        <w:trPr>
          <w:cantSplit/>
        </w:trPr>
        <w:tc>
          <w:tcPr>
            <w:tcW w:type="dxa" w:w="38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273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q042: Кто руководил обсерваторией «Звездный путь» в 2010 году?</w:t>
            </w:r>
          </w:p>
        </w:tc>
        <w:tc>
          <w:tcPr>
            <w:tcW w:type="dxa" w:w="16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Роман Федотов; [9]</w:t>
            </w:r>
          </w:p>
        </w:tc>
        <w:tc>
          <w:tcPr>
            <w:tcW w:type="dxa" w:w="109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29, 18, 32, 3, 40</w:t>
            </w:r>
          </w:p>
        </w:tc>
        <w:tc>
          <w:tcPr>
            <w:tcW w:type="dxa" w:w="377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 абзаце «возглавлял обсерваторию с 1995 по 2012 год» нет ни названия, ни года 2010, глагол другой. Год внутри интервала BM25 найти не может</w:t>
            </w:r>
          </w:p>
        </w:tc>
      </w:tr>
      <w:tr>
        <w:trPr>
          <w:cantSplit/>
        </w:trPr>
        <w:tc>
          <w:tcPr>
            <w:tcW w:type="dxa" w:w="38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273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q007: Кто был директором киностудии, когда она переехала на улицу Школьную?</w:t>
            </w:r>
          </w:p>
        </w:tc>
        <w:tc>
          <w:tcPr>
            <w:tcW w:type="dxa" w:w="1649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Вера Белова; [7, 14]</w:t>
            </w:r>
          </w:p>
        </w:tc>
        <w:tc>
          <w:tcPr>
            <w:tcW w:type="dxa" w:w="109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14, 8, 23, 1, 12</w:t>
            </w:r>
          </w:p>
        </w:tc>
        <w:tc>
          <w:tcPr>
            <w:tcW w:type="dxa" w:w="377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Двухшаговый вопрос: абзац о переезде найден, абзац о директоре нет. Связь идет через год 1984, который сначала надо найти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</w:rPr>
        <w:t>Причины retrieval-ошибок: лексический разрыв между вопросом и абзацем (синонимы, парафраз), абзацы без названия организации, числовые условия, которые BM25 не умеет проверять, и второй шаг двухшаговых вопросов. В полном режиме вопросы 1, 2 и 3 решены верно: для них ошибка лежит именно в поиске.</w:t>
      </w:r>
    </w:p>
    <w:p>
      <w:pPr>
        <w:pStyle w:val="Heading2"/>
      </w:pPr>
      <w:r>
        <w:t>5.2. Ошибки LLM при наличии правильного абзаца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491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433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Вопрос, режим</w:t>
            </w:r>
          </w:p>
        </w:tc>
        <w:tc>
          <w:tcPr>
            <w:tcW w:type="dxa" w:w="1525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Эталон</w:t>
            </w:r>
          </w:p>
        </w:tc>
        <w:tc>
          <w:tcPr>
            <w:tcW w:type="dxa" w:w="2092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Ответ модели</w:t>
            </w:r>
          </w:p>
        </w:tc>
        <w:tc>
          <w:tcPr>
            <w:tcW w:type="dxa" w:w="3096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Причина</w:t>
            </w:r>
          </w:p>
        </w:tc>
      </w:tr>
      <w:tr>
        <w:trPr>
          <w:cantSplit/>
        </w:trPr>
        <w:tc>
          <w:tcPr>
            <w:tcW w:type="dxa" w:w="49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243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q047, полный документ: город филиала, которым руководит Евгений Жуков</w:t>
            </w:r>
          </w:p>
        </w:tc>
        <w:tc>
          <w:tcPr>
            <w:tcW w:type="dxa" w:w="15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Липоборск [20, 21]</w:t>
            </w:r>
          </w:p>
        </w:tc>
        <w:tc>
          <w:tcPr>
            <w:tcW w:type="dxa" w:w="20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Туманоярск [18, 21]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Смешение сущностей: руководитель найден верно, но город взят из абзаца о другом филиале</w:t>
            </w:r>
          </w:p>
        </w:tc>
      </w:tr>
      <w:tr>
        <w:trPr>
          <w:cantSplit/>
        </w:trPr>
        <w:tc>
          <w:tcPr>
            <w:tcW w:type="dxa" w:w="49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243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q062, BM25: город филиала, которым руководит Андрей Ершов</w:t>
            </w:r>
          </w:p>
        </w:tc>
        <w:tc>
          <w:tcPr>
            <w:tcW w:type="dxa" w:w="15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Волнорецк [28, 29]</w:t>
            </w:r>
          </w:p>
        </w:tc>
        <w:tc>
          <w:tcPr>
            <w:tcW w:type="dxa" w:w="20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Ледогорск [30]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 top-5 три абзаца о разных филиалах, модель взяла не тот</w:t>
            </w:r>
          </w:p>
        </w:tc>
      </w:tr>
      <w:tr>
        <w:trPr>
          <w:cantSplit/>
        </w:trPr>
        <w:tc>
          <w:tcPr>
            <w:tcW w:type="dxa" w:w="49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243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q064, BM25: город филиала, которым руководит Роман Уваров</w:t>
            </w:r>
          </w:p>
        </w:tc>
        <w:tc>
          <w:tcPr>
            <w:tcW w:type="dxa" w:w="15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Бережанск [19, 20]</w:t>
            </w:r>
          </w:p>
        </w:tc>
        <w:tc>
          <w:tcPr>
            <w:tcW w:type="dxa" w:w="20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«Верхнеуслон», answerable = false, []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Галлюцинация и несогласованный JSON. Pydantic пропускает (типы верны), ловит проверка согласованности</w:t>
            </w:r>
          </w:p>
        </w:tc>
      </w:tr>
      <w:tr>
        <w:trPr>
          <w:cantSplit/>
        </w:trPr>
        <w:tc>
          <w:tcPr>
            <w:tcW w:type="dxa" w:w="49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243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q015, полный документ: директор ботанического сада в 1996 году</w:t>
            </w:r>
          </w:p>
        </w:tc>
        <w:tc>
          <w:tcPr>
            <w:tcW w:type="dxa" w:w="15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Роман Тарасов [8]</w:t>
            </w:r>
          </w:p>
        </w:tc>
        <w:tc>
          <w:tcPr>
            <w:tcW w:type="dxa" w:w="20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отказ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 тексте «назначен в 1985 году, оставался до 2006 года». Модель не выводит, что 1996 год внутри периода</w:t>
            </w:r>
          </w:p>
        </w:tc>
      </w:tr>
      <w:tr>
        <w:trPr>
          <w:cantSplit/>
        </w:trPr>
        <w:tc>
          <w:tcPr>
            <w:tcW w:type="dxa" w:w="491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243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q094, полный документ: кто стал партнером клиники в 2004 году</w:t>
            </w:r>
          </w:p>
        </w:tc>
        <w:tc>
          <w:tcPr>
            <w:tcW w:type="dxa" w:w="152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фонд «Открытый горизонт» [31]</w:t>
            </w:r>
          </w:p>
        </w:tc>
        <w:tc>
          <w:tcPr>
            <w:tcW w:type="dxa" w:w="20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отказ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 тексте «подписала соглашение о сотрудничестве». В режиме BM25 модель связала формулировки, в полном документе нет</w:t>
            </w:r>
          </w:p>
        </w:tc>
      </w:tr>
    </w:tbl>
    <w:p>
      <w:pPr>
        <w:spacing w:after="0"/>
      </w:pPr>
    </w:p>
    <w:p>
      <w:pPr>
        <w:pStyle w:val="Heading2"/>
      </w:pPr>
      <w:r>
        <w:t>5.3. Ошибки определения answerable</w:t>
      </w:r>
    </w:p>
    <w:p>
      <w:pPr>
        <w:jc w:val="both"/>
      </w:pPr>
      <w:r>
        <w:rPr>
          <w:rFonts w:ascii="Times New Roman" w:hAnsi="Times New Roman" w:eastAsia="Times New Roman"/>
        </w:rPr>
        <w:t>Модель ни разу не ответила на вопрос без ответа: все 25 таких вопросов в обоих режимах получили отказ. Поэтому все ошибки answerable являются ложными отказами.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535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2592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Вопрос, режим</w:t>
            </w:r>
          </w:p>
        </w:tc>
        <w:tc>
          <w:tcPr>
            <w:tcW w:type="dxa" w:w="2110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Эталон</w:t>
            </w:r>
          </w:p>
        </w:tc>
        <w:tc>
          <w:tcPr>
            <w:tcW w:type="dxa" w:w="4400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Причина</w:t>
            </w:r>
          </w:p>
        </w:tc>
      </w:tr>
      <w:tr>
        <w:trPr>
          <w:cantSplit/>
        </w:trPr>
        <w:tc>
          <w:tcPr>
            <w:tcW w:type="dxa" w:w="5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11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q041, BM25: директор театра в 1961 году</w:t>
            </w:r>
          </w:p>
        </w:tc>
        <w:tc>
          <w:tcPr>
            <w:tcW w:type="dxa" w:w="211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Полина Абрамова [8]</w:t>
            </w:r>
          </w:p>
        </w:tc>
        <w:tc>
          <w:tcPr>
            <w:tcW w:type="dxa" w:w="44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Абзац «С 1951 по 1963 год театром руководила Полина Абрамова» на 3 месте top-5, глагол совпадает. Год не назван буквально, и модель считает вопрос безответным</w:t>
            </w:r>
          </w:p>
        </w:tc>
      </w:tr>
      <w:tr>
        <w:trPr>
          <w:cantSplit/>
        </w:trPr>
        <w:tc>
          <w:tcPr>
            <w:tcW w:type="dxa" w:w="5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q045, полный документ: директор в год премии «Жемчужная раковина»</w:t>
            </w:r>
          </w:p>
        </w:tc>
        <w:tc>
          <w:tcPr>
            <w:tcW w:type="dxa" w:w="211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Олег Воронин [4, 45]</w:t>
            </w:r>
          </w:p>
        </w:tc>
        <w:tc>
          <w:tcPr>
            <w:tcW w:type="dxa" w:w="44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Год премии 1971 надо сопоставить с периодом 1956-2016. Модель отказывается в обоих режимах</w:t>
            </w:r>
          </w:p>
        </w:tc>
      </w:tr>
      <w:tr>
        <w:trPr>
          <w:cantSplit/>
        </w:trPr>
        <w:tc>
          <w:tcPr>
            <w:tcW w:type="dxa" w:w="5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13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q006, полный документ: директор фабрики в год переезда</w:t>
            </w:r>
          </w:p>
        </w:tc>
        <w:tc>
          <w:tcPr>
            <w:tcW w:type="dxa" w:w="211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Николай Родионов [6, 7]</w:t>
            </w:r>
          </w:p>
        </w:tc>
        <w:tc>
          <w:tcPr>
            <w:tcW w:type="dxa" w:w="44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 документе три абзаца о директорах, и модель не выбирает период. В режиме BM25 с тем же промптом ответ верный</w:t>
            </w:r>
          </w:p>
        </w:tc>
      </w:tr>
      <w:tr>
        <w:trPr>
          <w:cantSplit/>
        </w:trPr>
        <w:tc>
          <w:tcPr>
            <w:tcW w:type="dxa" w:w="5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14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q009, BM25: где находится лесной филиал музея</w:t>
            </w:r>
          </w:p>
        </w:tc>
        <w:tc>
          <w:tcPr>
            <w:tcW w:type="dxa" w:w="211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Светлоярск [17]</w:t>
            </w:r>
          </w:p>
        </w:tc>
        <w:tc>
          <w:tcPr>
            <w:tcW w:type="dxa" w:w="44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Нужный абзац первый в top-5: «Лесной филиал открылся в 1995 году в Светлоярске». Модель читает «открылся в» как недостаточный ответ на «где находится»</w:t>
            </w:r>
          </w:p>
        </w:tc>
      </w:tr>
      <w:tr>
        <w:trPr>
          <w:cantSplit/>
        </w:trPr>
        <w:tc>
          <w:tcPr>
            <w:tcW w:type="dxa" w:w="535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15</w:t>
            </w:r>
          </w:p>
        </w:tc>
        <w:tc>
          <w:tcPr>
            <w:tcW w:type="dxa" w:w="259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q004, BM25: город филиала, которым руководит Марина Мельникова</w:t>
            </w:r>
          </w:p>
        </w:tc>
        <w:tc>
          <w:tcPr>
            <w:tcW w:type="dxa" w:w="211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Гранитогорск [30, 34]</w:t>
            </w:r>
          </w:p>
        </w:tc>
        <w:tc>
          <w:tcPr>
            <w:tcW w:type="dxa" w:w="4400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Оба абзаца на 1 и 2 месте, но «руководит речным филиалом» и «речной филиал» не связаны. Полный режим ответил верно</w:t>
            </w:r>
          </w:p>
        </w:tc>
      </w:tr>
    </w:tbl>
    <w:p>
      <w:pPr>
        <w:spacing w:after="0"/>
      </w:pPr>
    </w:p>
    <w:p>
      <w:pPr>
        <w:pStyle w:val="Heading1"/>
      </w:pPr>
      <w:r>
        <w:t>6. Дополнительная проверка промпта</w:t>
      </w:r>
    </w:p>
    <w:p>
      <w:pPr>
        <w:jc w:val="both"/>
      </w:pPr>
      <w:r>
        <w:rPr>
          <w:rFonts w:ascii="Times New Roman" w:hAnsi="Times New Roman" w:eastAsia="Times New Roman"/>
        </w:rPr>
        <w:t xml:space="preserve">Все 13 вопросов о директоре в заданном году или в год события в полном режиме получили отказ. Правило 3 промпта приводит пример «нет данных за нужный год», и мы предположили, что модель понимает его буквально. Для проверки сделан вариант </w:t>
      </w:r>
      <w:r>
        <w:rPr>
          <w:rFonts w:ascii="Consolas" w:hAnsi="Consolas" w:eastAsia="Consolas"/>
          <w:sz w:val="22"/>
        </w:rPr>
        <w:t>prompt_v2.txt</w:t>
      </w:r>
      <w:r>
        <w:rPr>
          <w:rFonts w:ascii="Times New Roman" w:hAnsi="Times New Roman" w:eastAsia="Times New Roman"/>
        </w:rPr>
        <w:t>: в нем явно сказано, что год внутри указанного периода считается указанным. Вариант запущен на этих 13 вопросах и на 25 вопросах без ответа (</w:t>
      </w:r>
      <w:r>
        <w:rPr>
          <w:rFonts w:ascii="Consolas" w:hAnsi="Consolas" w:eastAsia="Consolas"/>
          <w:sz w:val="22"/>
        </w:rPr>
        <w:t>generate.py --prompt prompt_v2.txt --tag v2</w:t>
      </w:r>
      <w:r>
        <w:rPr>
          <w:rFonts w:ascii="Times New Roman" w:hAnsi="Times New Roman" w:eastAsia="Times New Roman"/>
        </w:rPr>
        <w:t>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2907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Результат на 38 вопросах</w:t>
            </w:r>
          </w:p>
        </w:tc>
        <w:tc>
          <w:tcPr>
            <w:tcW w:type="dxa" w:w="1758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prompt.txt, полный</w:t>
            </w:r>
          </w:p>
        </w:tc>
        <w:tc>
          <w:tcPr>
            <w:tcW w:type="dxa" w:w="1742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prompt.txt, BM25</w:t>
            </w:r>
          </w:p>
        </w:tc>
        <w:tc>
          <w:tcPr>
            <w:tcW w:type="dxa" w:w="1623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prompt_v2, полный</w:t>
            </w:r>
          </w:p>
        </w:tc>
        <w:tc>
          <w:tcPr>
            <w:tcW w:type="dxa" w:w="1607"/>
            <w:shd w:val="clear" w:color="auto" w:fill="E7ECF3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prompt_v2, BM25</w:t>
            </w:r>
          </w:p>
        </w:tc>
      </w:tr>
      <w:tr>
        <w:trPr>
          <w:cantSplit/>
        </w:trPr>
        <w:tc>
          <w:tcPr>
            <w:tcW w:type="dxa" w:w="290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Интервальные вопросы: верно</w:t>
            </w:r>
          </w:p>
        </w:tc>
        <w:tc>
          <w:tcPr>
            <w:tcW w:type="dxa" w:w="17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  <w:tc>
          <w:tcPr>
            <w:tcW w:type="dxa" w:w="174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162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160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290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Интервальные вопросы: неверный ответ</w:t>
            </w:r>
          </w:p>
        </w:tc>
        <w:tc>
          <w:tcPr>
            <w:tcW w:type="dxa" w:w="17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  <w:tc>
          <w:tcPr>
            <w:tcW w:type="dxa" w:w="174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  <w:tc>
          <w:tcPr>
            <w:tcW w:type="dxa" w:w="162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160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290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Интервальные вопросы: отказ</w:t>
            </w:r>
          </w:p>
        </w:tc>
        <w:tc>
          <w:tcPr>
            <w:tcW w:type="dxa" w:w="17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13</w:t>
            </w:r>
          </w:p>
        </w:tc>
        <w:tc>
          <w:tcPr>
            <w:tcW w:type="dxa" w:w="174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162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160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290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Вопросы без ответа: ответ вместо отказа</w:t>
            </w:r>
          </w:p>
        </w:tc>
        <w:tc>
          <w:tcPr>
            <w:tcW w:type="dxa" w:w="1758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  <w:tc>
          <w:tcPr>
            <w:tcW w:type="dxa" w:w="1742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  <w:tc>
          <w:tcPr>
            <w:tcW w:type="dxa" w:w="1623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  <w:tc>
          <w:tcPr>
            <w:tcW w:type="dxa" w:w="1607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1"/>
              </w:rPr>
              <w:t>0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</w:rPr>
        <w:t>Гипотеза подтвердилась лишь частично. В полном документе мягкий промпт превратил отказы в уверенные неверные ответы: модель берет соседний период и называет не того директора (q045, q097: «Ксения Громова» вместо «Олег Воронин»). Значит, отказы в основном прогоне скрывали неспособность модели сопоставить год с периодом, а не только осторожность. В коротком контексте BM25 тот же промпт дал один лишний верный ответ без ошибок. Основные результаты посчитаны с исходным промптом.</w:t>
      </w:r>
    </w:p>
    <w:p>
      <w:pPr>
        <w:pStyle w:val="Heading1"/>
      </w:pPr>
      <w:r>
        <w:t>7. Выводы</w:t>
      </w:r>
    </w:p>
    <w:p>
      <w:pPr>
        <w:jc w:val="both"/>
      </w:pPr>
      <w:r>
        <w:rPr>
          <w:rFonts w:ascii="Times New Roman" w:hAnsi="Times New Roman" w:eastAsia="Times New Roman"/>
          <w:b/>
        </w:rPr>
        <w:t>Retrieval.</w:t>
      </w:r>
      <w:r>
        <w:rPr>
          <w:rFonts w:ascii="Times New Roman" w:hAnsi="Times New Roman" w:eastAsia="Times New Roman"/>
        </w:rPr>
        <w:t xml:space="preserve"> BM25 с псевдоосновами находит доказательства для 89% вопросов. Он ошибается там, где вопрос и абзац выражают одно и то же разными словами, где в абзаце нет имени сущности и где нужный абзац определяется числом или вторым шагом рассуждения. Для двухшаговых вопросов одного запроса недостаточно. Улучшить поиск могли бы лемматизация, гибрид BM25 с плотными эмбеддингами и итеративный поиск.</w:t>
      </w:r>
    </w:p>
    <w:p>
      <w:pPr>
        <w:jc w:val="both"/>
      </w:pPr>
      <w:r>
        <w:rPr>
          <w:rFonts w:ascii="Times New Roman" w:hAnsi="Times New Roman" w:eastAsia="Times New Roman"/>
          <w:b/>
        </w:rPr>
        <w:t>LLM.</w:t>
      </w:r>
      <w:r>
        <w:rPr>
          <w:rFonts w:ascii="Times New Roman" w:hAnsi="Times New Roman" w:eastAsia="Times New Roman"/>
        </w:rPr>
        <w:t xml:space="preserve"> Большая часть ошибок относится к генерации, а не к поиску: в полном режиме retrieval нет, но ошибок 15. Слабые места модели:</w:t>
      </w:r>
    </w:p>
    <w:p>
      <w:pPr>
        <w:pStyle w:val="ListBullet"/>
      </w:pPr>
      <w:r>
        <w:rPr>
          <w:rFonts w:ascii="Times New Roman" w:hAnsi="Times New Roman" w:eastAsia="Times New Roman"/>
        </w:rPr>
        <w:t>временные рассуждения: вывести, что год внутри периода «с 1985 по 2006», или сопоставить год события с периодом директора;</w:t>
      </w:r>
    </w:p>
    <w:p>
      <w:pPr>
        <w:pStyle w:val="ListBullet"/>
      </w:pPr>
      <w:r>
        <w:rPr>
          <w:rFonts w:ascii="Times New Roman" w:hAnsi="Times New Roman" w:eastAsia="Times New Roman"/>
        </w:rPr>
        <w:t>смешение похожих сущностей (филиалы одной организации);</w:t>
      </w:r>
    </w:p>
    <w:p>
      <w:pPr>
        <w:pStyle w:val="ListBullet"/>
      </w:pPr>
      <w:r>
        <w:rPr>
          <w:rFonts w:ascii="Times New Roman" w:hAnsi="Times New Roman" w:eastAsia="Times New Roman"/>
        </w:rPr>
        <w:t>редкая галлюцинация с несогласованными полями JSON.</w:t>
      </w:r>
    </w:p>
    <w:p>
      <w:pPr>
        <w:jc w:val="both"/>
      </w:pPr>
      <w:r>
        <w:rPr>
          <w:rFonts w:ascii="Times New Roman" w:hAnsi="Times New Roman" w:eastAsia="Times New Roman"/>
          <w:b/>
        </w:rPr>
        <w:t>Answerable.</w:t>
      </w:r>
      <w:r>
        <w:rPr>
          <w:rFonts w:ascii="Times New Roman" w:hAnsi="Times New Roman" w:eastAsia="Times New Roman"/>
        </w:rPr>
        <w:t xml:space="preserve"> Промпт получился осторожным: 25 из 25 верных отказов и ни одного ответа без опоры в тексте, ценой 19-20% ложных отказов. Проверка </w:t>
      </w:r>
      <w:r>
        <w:rPr>
          <w:rFonts w:ascii="Consolas" w:hAnsi="Consolas" w:eastAsia="Consolas"/>
          <w:sz w:val="22"/>
        </w:rPr>
        <w:t>prompt_v2</w:t>
      </w:r>
      <w:r>
        <w:rPr>
          <w:rFonts w:ascii="Times New Roman" w:hAnsi="Times New Roman" w:eastAsia="Times New Roman"/>
        </w:rPr>
        <w:t xml:space="preserve"> показала, что смягчение правила отказа в длинном контексте заменяет отказы ошибками. Поэтому уровень осторожности нужно выбирать под задачу, где цена выдуманного ответа выше цены отказа.</w:t>
      </w:r>
    </w:p>
    <w:p>
      <w:pPr>
        <w:jc w:val="both"/>
      </w:pPr>
      <w:r>
        <w:rPr>
          <w:rFonts w:ascii="Times New Roman" w:hAnsi="Times New Roman" w:eastAsia="Times New Roman"/>
          <w:b/>
        </w:rPr>
        <w:t>Режимы.</w:t>
      </w:r>
      <w:r>
        <w:rPr>
          <w:rFonts w:ascii="Times New Roman" w:hAnsi="Times New Roman" w:eastAsia="Times New Roman"/>
        </w:rPr>
        <w:t xml:space="preserve"> На документах длиной 2-3 тысячи токенов полный документ немного точнее (80,0% против 77,3%). BM25 вдвое быстрее, в 3,4 раза дешевле по токенам и точнее в ссылках на доказательства. В режиме BM25 ошибки делятся почти поровну: 9 из-за поиска, 8 из-за LLM. Для более длинных документов, которые не помещаются в окно модели, режим BM25 становится единственно возможным, и тогда основные вложения нужны в поиск.</w:t>
      </w:r>
    </w:p>
    <w:p>
      <w:pPr>
        <w:pStyle w:val="Heading1"/>
      </w:pPr>
      <w:r>
        <w:t>8. Вклад участников</w:t>
      </w:r>
    </w:p>
    <w:p>
      <w:pPr>
        <w:pStyle w:val="ListBullet"/>
      </w:pPr>
      <w:r>
        <w:rPr>
          <w:rFonts w:ascii="Times New Roman" w:hAnsi="Times New Roman" w:eastAsia="Times New Roman"/>
        </w:rPr>
        <w:t>Мещеряков Д.П. (участники 1 и 3): генерация синтетических данных, сегментация и идентификаторы, BM25 и recall@5, выбор псевдоосновы, метрики (</w:t>
      </w:r>
      <w:r>
        <w:rPr>
          <w:rFonts w:ascii="Consolas" w:hAnsi="Consolas" w:eastAsia="Consolas"/>
          <w:sz w:val="22"/>
        </w:rPr>
        <w:t>evaluate.py</w:t>
      </w:r>
      <w:r>
        <w:rPr>
          <w:rFonts w:ascii="Times New Roman" w:hAnsi="Times New Roman" w:eastAsia="Times New Roman"/>
        </w:rPr>
        <w:t>), тесты (</w:t>
      </w:r>
      <w:r>
        <w:rPr>
          <w:rFonts w:ascii="Consolas" w:hAnsi="Consolas" w:eastAsia="Consolas"/>
          <w:sz w:val="22"/>
        </w:rPr>
        <w:t>tests/test_pipeline.py</w:t>
      </w:r>
      <w:r>
        <w:rPr>
          <w:rFonts w:ascii="Times New Roman" w:hAnsi="Times New Roman" w:eastAsia="Times New Roman"/>
        </w:rPr>
        <w:t>).</w:t>
      </w:r>
    </w:p>
    <w:p>
      <w:pPr>
        <w:pStyle w:val="ListBullet"/>
      </w:pPr>
      <w:r>
        <w:rPr>
          <w:rFonts w:ascii="Times New Roman" w:hAnsi="Times New Roman" w:eastAsia="Times New Roman"/>
        </w:rPr>
        <w:t xml:space="preserve">Соболь В.В. (участники 2 и 3): промпт, вызов LLM через Ollama, проверка JSON через Pydantic и evidence_ids, учет времени и токенов, отбор и разбор ошибок, проверка </w:t>
      </w:r>
      <w:r>
        <w:rPr>
          <w:rFonts w:ascii="Consolas" w:hAnsi="Consolas" w:eastAsia="Consolas"/>
          <w:sz w:val="22"/>
        </w:rPr>
        <w:t>prompt_v2</w:t>
      </w:r>
      <w:r>
        <w:rPr>
          <w:rFonts w:ascii="Times New Roman" w:hAnsi="Times New Roman" w:eastAsia="Times New Roman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</w:rPr>
        <w:t>Совместно: разбор 15 ошибок, сравнение режимов, выводы, текст отчета.</w:t>
      </w:r>
    </w:p>
    <w:p>
      <w:pPr>
        <w:jc w:val="both"/>
      </w:pPr>
      <w:r>
        <w:rPr>
          <w:rFonts w:ascii="Times New Roman" w:hAnsi="Times New Roman" w:eastAsia="Times New Roman"/>
        </w:rPr>
        <w:t>Оба участника понимают архитектуру целиком и отвечают за содержание отчета.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