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6A73A">
      <w:pPr>
        <w:pStyle w:val="36"/>
      </w:pPr>
      <w:r>
        <w:t xml:space="preserve">The Social Impact of </w:t>
      </w:r>
      <w:r>
        <w:fldChar w:fldCharType="begin"/>
      </w:r>
      <w:r>
        <w:instrText xml:space="preserve"> HYPERLINK "https://www.deepseek.com" </w:instrText>
      </w:r>
      <w:r>
        <w:fldChar w:fldCharType="separate"/>
      </w:r>
      <w:r>
        <w:rPr>
          <w:rStyle w:val="139"/>
        </w:rPr>
        <w:t>LLMs</w:t>
      </w:r>
      <w:r>
        <w:fldChar w:fldCharType="end"/>
      </w:r>
      <w:r>
        <w:t xml:space="preserve"> / 大语言模型的社会影响 / Gesellschaftliche Wirkung von LLMs</w:t>
      </w:r>
    </w:p>
    <w:p w14:paraId="0D7F29BA">
      <w:pPr>
        <w:pStyle w:val="29"/>
      </w:pPr>
      <w:r>
        <w:t>A multilingual DOCX fixture for embedded document parsing, layout fidelity, and attachment extraction.</w:t>
      </w:r>
    </w:p>
    <w:p w14:paraId="6A190FF0">
      <w:r>
        <w:t>Document note: body citations reference the footer marker [F1], and embedded objects appear inline with visible anchors.</w:t>
      </w:r>
    </w:p>
    <w:p w14:paraId="7159D5AD">
      <w:r>
        <w:t>Evaluation note: this hand-maintained fixture now stresses embedded attachments, checkboxes, Word charts, SmartArt, nested tables, and nested-table images/SmartArt. Parser recommendations must be read by dimension: EDP recovers attachments; the main parser controls tables, numbering, formulas, charts, and SmartArt fidelity. 评测注意：本手工维护文档包含嵌入附件、复选框、Word 图表、SmartArt、嵌套表格及嵌套表内图片/SmartArt。使用建议必须按维度阅读：EDP 负责附件回收，主解析器决定表格、编号、公式、图表和 SmartArt 的保真。</w:t>
      </w:r>
    </w:p>
    <w:p w14:paraId="01232C6F">
      <w:pPr>
        <w:pStyle w:val="3"/>
      </w:pPr>
      <w:bookmarkStart w:id="0" w:name="_Toc107538127"/>
      <w:r>
        <w:t>Table of Contents</w:t>
      </w:r>
      <w:bookmarkEnd w:id="0"/>
    </w:p>
    <w:p w14:paraId="7004F209">
      <w:r>
        <w:commentReference w:id="0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39743836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</w:sdtEndPr>
      <w:sdtContent>
        <w:p w14:paraId="6AF985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eastAsia="宋体"/>
              <w:lang w:val="en-US" w:eastAsia="zh-CN"/>
            </w:rPr>
          </w:pPr>
          <w:r>
            <w:rPr>
              <w:rFonts w:hint="eastAsia" w:ascii="宋体" w:hAnsi="宋体" w:eastAsia="宋体" w:cstheme="minorBidi"/>
              <w:sz w:val="21"/>
              <w:szCs w:val="22"/>
              <w:lang w:val="en-US" w:eastAsia="zh-CN" w:bidi="ar-SA"/>
            </w:rPr>
            <w:t>test table of contents</w:t>
          </w:r>
        </w:p>
        <w:p w14:paraId="11849069">
          <w:pPr>
            <w:pStyle w:val="28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 w:val="22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ascii="Calibri" w:hAnsi="Calibri" w:eastAsiaTheme="minorEastAsia" w:cstheme="minorBidi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_Toc107538127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Table of Contents</w:t>
          </w:r>
          <w:r>
            <w:tab/>
          </w:r>
          <w:r>
            <w:fldChar w:fldCharType="begin"/>
          </w:r>
          <w:r>
            <w:instrText xml:space="preserve"> PAGEREF _Toc107538127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59444C72">
          <w:pPr>
            <w:pStyle w:val="28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_Toc1359553362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1. English Section: Social Systems Under LLM Adoption</w:t>
          </w:r>
          <w:r>
            <w:tab/>
          </w:r>
          <w:r>
            <w:fldChar w:fldCharType="begin"/>
          </w:r>
          <w:r>
            <w:instrText xml:space="preserve"> PAGEREF _Toc1359553362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6AB899D2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_Toc787351054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1.1 Education and Access</w:t>
          </w:r>
          <w:r>
            <w:tab/>
          </w:r>
          <w:r>
            <w:fldChar w:fldCharType="begin"/>
          </w:r>
          <w:r>
            <w:instrText xml:space="preserve"> PAGEREF _Toc787351054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CD2A83A">
          <w:pPr>
            <w:pStyle w:val="25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_Toc214931764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1.1.1 Non-spanning Formula</w:t>
          </w:r>
          <w:r>
            <w:tab/>
          </w:r>
          <w:r>
            <w:fldChar w:fldCharType="begin"/>
          </w:r>
          <w:r>
            <w:instrText xml:space="preserve"> PAGEREF _Toc214931764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37F76C9B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_Toc290663294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1.2 Non-spanning Table</w:t>
          </w:r>
          <w:r>
            <w:tab/>
          </w:r>
          <w:r>
            <w:fldChar w:fldCharType="begin"/>
          </w:r>
          <w:r>
            <w:instrText xml:space="preserve"> PAGEREF _Toc290663294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E50CCBB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_Toc1800168980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1.3 Cross-page Formula Block</w:t>
          </w:r>
          <w:r>
            <w:tab/>
          </w:r>
          <w:r>
            <w:fldChar w:fldCharType="begin"/>
          </w:r>
          <w:r>
            <w:instrText xml:space="preserve"> PAGEREF _Toc1800168980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102A9DF9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_Toc1690427924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1.4 Embedded Objects</w:t>
          </w:r>
          <w:r>
            <w:tab/>
          </w:r>
          <w:r>
            <w:fldChar w:fldCharType="begin"/>
          </w:r>
          <w:r>
            <w:instrText xml:space="preserve"> PAGEREF _Toc1690427924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D8E2036">
          <w:pPr>
            <w:pStyle w:val="28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_Toc1960952505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 中文部分：大语言模型对社会治理与劳动的影响</w:t>
          </w:r>
          <w:r>
            <w:tab/>
          </w:r>
          <w:r>
            <w:fldChar w:fldCharType="begin"/>
          </w:r>
          <w:r>
            <w:instrText xml:space="preserve"> PAGEREF _Toc1960952505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34400AFE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_Toc297221026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2.1 多级编号：治理实施路径</w:t>
          </w:r>
          <w:r>
            <w:tab/>
          </w:r>
          <w:r>
            <w:fldChar w:fldCharType="begin"/>
          </w:r>
          <w:r>
            <w:instrText xml:space="preserve"> PAGEREF _Toc297221026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228A7B6D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_Toc346821060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2.2 单行复杂信息图</w:t>
          </w:r>
          <w:r>
            <w:tab/>
          </w:r>
          <w:r>
            <w:fldChar w:fldCharType="begin"/>
          </w:r>
          <w:r>
            <w:instrText xml:space="preserve"> PAGEREF _Toc346821060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807B05B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_Toc750937462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2.3 单行多个复杂信息图</w:t>
          </w:r>
          <w:r>
            <w:tab/>
          </w:r>
          <w:r>
            <w:fldChar w:fldCharType="begin"/>
          </w:r>
          <w:r>
            <w:instrText xml:space="preserve"> PAGEREF _Toc750937462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2AAC9890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_Toc244530415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2.4 跨页表格：社会影响指标</w:t>
          </w:r>
          <w:r>
            <w:tab/>
          </w:r>
          <w:r>
            <w:fldChar w:fldCharType="begin"/>
          </w:r>
          <w:r>
            <w:instrText xml:space="preserve"> PAGEREF _Toc244530415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5D0A4B68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_Toc1686468194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2.5 双列表格：同一行并列两份</w:t>
          </w:r>
          <w:r>
            <w:tab/>
          </w:r>
          <w:r>
            <w:fldChar w:fldCharType="begin"/>
          </w:r>
          <w:r>
            <w:instrText xml:space="preserve"> PAGEREF _Toc1686468194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5B3A091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_Toc1981763452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2.6 跨页双列表格</w:t>
          </w:r>
          <w:r>
            <w:tab/>
          </w:r>
          <w:r>
            <w:fldChar w:fldCharType="begin"/>
          </w:r>
          <w:r>
            <w:instrText xml:space="preserve"> PAGEREF _Toc1981763452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83BE146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_Toc26972794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2.7 表格内嵌图片与公式</w:t>
          </w:r>
          <w:r>
            <w:tab/>
          </w:r>
          <w:r>
            <w:fldChar w:fldCharType="begin"/>
          </w:r>
          <w:r>
            <w:instrText xml:space="preserve"> PAGEREF _Toc26972794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06A4A83A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_Toc212699241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2.8 非标准格式申请单（不跨页）</w:t>
          </w:r>
          <w:r>
            <w:tab/>
          </w:r>
          <w:r>
            <w:fldChar w:fldCharType="begin"/>
          </w:r>
          <w:r>
            <w:instrText xml:space="preserve"> PAGEREF _Toc212699241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13F94E2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_Toc1423354879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2.9 非标准格式申请单（跨页）</w:t>
          </w:r>
          <w:r>
            <w:tab/>
          </w:r>
          <w:r>
            <w:fldChar w:fldCharType="begin"/>
          </w:r>
          <w:r>
            <w:instrText xml:space="preserve"> PAGEREF _Toc1423354879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9A4F7FE">
          <w:pPr>
            <w:pStyle w:val="28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_Toc1505107420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3. Deutscher Teil: Gesellschaftliche Folgen von LLMs</w:t>
          </w:r>
          <w:r>
            <w:tab/>
          </w:r>
          <w:r>
            <w:fldChar w:fldCharType="begin"/>
          </w:r>
          <w:r>
            <w:instrText xml:space="preserve"> PAGEREF _Toc1505107420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602D9631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_Toc1130529927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3.1 Vertrauen, Transparenz und Verantwortung</w:t>
          </w:r>
          <w:r>
            <w:tab/>
          </w:r>
          <w:r>
            <w:fldChar w:fldCharType="begin"/>
          </w:r>
          <w:r>
            <w:instrText xml:space="preserve"> PAGEREF _Toc1130529927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757E1D04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_Toc2028658080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3.2 Single-line Complex Flowchart</w:t>
          </w:r>
          <w:r>
            <w:tab/>
          </w:r>
          <w:r>
            <w:fldChar w:fldCharType="begin"/>
          </w:r>
          <w:r>
            <w:instrText xml:space="preserve"> PAGEREF _Toc2028658080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4592541A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_Toc58487141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3.3 Single-line Multiple Complex Flowcharts</w:t>
          </w:r>
          <w:r>
            <w:tab/>
          </w:r>
          <w:r>
            <w:fldChar w:fldCharType="begin"/>
          </w:r>
          <w:r>
            <w:instrText xml:space="preserve"> PAGEREF _Toc58487141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1352641E">
          <w:pPr>
            <w:pStyle w:val="32"/>
            <w:tabs>
              <w:tab w:val="right" w:leader="dot" w:pos="9360"/>
            </w:tabs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instrText xml:space="preserve"> HYPERLINK \l _Toc1593352108 </w:instrText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separate"/>
          </w:r>
          <w:r>
            <w:t>3.4 Abschließende Matrix</w:t>
          </w:r>
          <w:r>
            <w:tab/>
          </w:r>
          <w:r>
            <w:fldChar w:fldCharType="begin"/>
          </w:r>
          <w:r>
            <w:instrText xml:space="preserve"> PAGEREF _Toc1593352108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  <w:p w14:paraId="59EB2E15">
          <w:pPr>
            <w:rPr>
              <w:rFonts w:ascii="Calibri" w:hAnsi="Calibri" w:eastAsiaTheme="minorEastAsia" w:cstheme="minorBidi"/>
              <w:sz w:val="22"/>
              <w:szCs w:val="22"/>
              <w:lang w:val="en-US" w:eastAsia="en-US" w:bidi="ar-SA"/>
            </w:rPr>
          </w:pPr>
          <w:r>
            <w:rPr>
              <w:rFonts w:ascii="Calibri" w:hAnsi="Calibri" w:eastAsiaTheme="minorEastAsia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6E83FD01">
      <w:pPr>
        <w:rPr>
          <w:rFonts w:ascii="Calibri" w:hAnsi="Calibri" w:eastAsiaTheme="minorEastAsia" w:cstheme="minorBidi"/>
          <w:sz w:val="22"/>
          <w:szCs w:val="22"/>
          <w:lang w:val="en-US" w:eastAsia="en-US" w:bidi="ar-SA"/>
        </w:rPr>
      </w:pPr>
    </w:p>
    <w:p w14:paraId="48818B87">
      <w:r>
        <w:br w:type="page"/>
      </w:r>
    </w:p>
    <w:p w14:paraId="11EB284A">
      <w:pPr>
        <w:pStyle w:val="3"/>
      </w:pPr>
      <w:bookmarkStart w:id="1" w:name="_Toc1359553362"/>
      <w:r>
        <w:t>1. English Section: Social Systems Under LLM Adoption</w:t>
      </w:r>
      <w:bookmarkEnd w:id="1"/>
    </w:p>
    <w:p w14:paraId="4004A89C">
      <w:r>
        <w:t>Large language models are becoming a civic technology layer. They influence how people learn, how organizations route work, how governments communicate, and how communities negotiate trust. This paragraph references footer annotation</w:t>
      </w:r>
      <w:r>
        <w:rPr>
          <w:rStyle w:val="142"/>
          <w:rFonts w:hint="eastAsia" w:eastAsia="宋体"/>
          <w:lang w:val="en-US" w:eastAsia="zh-CN"/>
        </w:rPr>
        <w:footnoteReference w:id="0"/>
      </w:r>
      <w:r>
        <w:t xml:space="preserve"> so footer extraction can be tested.</w:t>
      </w:r>
    </w:p>
    <w:p w14:paraId="54E87F0E">
      <w:r>
        <w:t>This paragraph contains a real Word footnote</w:t>
      </w:r>
      <w:r>
        <w:footnoteReference w:id="1"/>
      </w:r>
      <w:r>
        <w:t>so footnote extraction and anchor accuracy can be evaluated.</w:t>
      </w:r>
    </w:p>
    <w:p w14:paraId="01DEFA93">
      <w:pPr>
        <w:pStyle w:val="4"/>
      </w:pPr>
      <w:bookmarkStart w:id="2" w:name="_Toc787351054"/>
      <w:r>
        <w:t>1.1 Education and Access</w:t>
      </w:r>
      <w:bookmarkEnd w:id="2"/>
    </w:p>
    <w:p w14:paraId="54157DC6">
      <w:r>
        <w:t>Personalized tutors can expand access, but only when schools invest in evaluation, teacher training, and multilingual support.</w:t>
      </w:r>
    </w:p>
    <w:p w14:paraId="6D9C32A2">
      <w:r>
        <w:t>Public institutions need procurement rules that measure outcomes such as comprehension, inclusion, and appealability.</w:t>
      </w:r>
    </w:p>
    <w:p w14:paraId="08723F4C">
      <w:r>
        <w:t>The test document intentionally includes long paragraphs to exercise line wrapping across parser backends.</w:t>
      </w:r>
    </w:p>
    <w:p w14:paraId="0EEB42FA">
      <w:pPr>
        <w:pStyle w:val="14"/>
      </w:pPr>
      <w:r>
        <w:t>Map stakeholders</w:t>
      </w:r>
    </w:p>
    <w:p w14:paraId="77816898">
      <w:pPr>
        <w:pStyle w:val="13"/>
      </w:pPr>
      <w:r>
        <w:t>1.a Evidence checkpoint for map stakeholders.</w:t>
      </w:r>
    </w:p>
    <w:p w14:paraId="128681FD">
      <w:pPr>
        <w:pStyle w:val="14"/>
      </w:pPr>
      <w:r>
        <w:t>Assess exposure</w:t>
      </w:r>
    </w:p>
    <w:p w14:paraId="0C69C92A">
      <w:pPr>
        <w:pStyle w:val="13"/>
      </w:pPr>
      <w:r>
        <w:t>2.a Evidence checkpoint for assess exposure.</w:t>
      </w:r>
    </w:p>
    <w:p w14:paraId="58DCBFAB">
      <w:pPr>
        <w:pStyle w:val="14"/>
      </w:pPr>
      <w:r>
        <w:t>Pilot with review</w:t>
      </w:r>
    </w:p>
    <w:p w14:paraId="21EE5F66">
      <w:pPr>
        <w:pStyle w:val="13"/>
      </w:pPr>
      <w:r>
        <w:t>3.a Evidence checkpoint for pilot with review.</w:t>
      </w:r>
    </w:p>
    <w:p w14:paraId="27CB9AD0">
      <w:pPr>
        <w:pStyle w:val="14"/>
      </w:pPr>
      <w:r>
        <w:t>Publish audit notes</w:t>
      </w:r>
    </w:p>
    <w:p w14:paraId="6643220F">
      <w:pPr>
        <w:pStyle w:val="13"/>
      </w:pPr>
      <w:r>
        <w:t>4.a Evidence checkpoint for publish audit notes.</w:t>
      </w:r>
    </w:p>
    <w:p w14:paraId="5B71E24F">
      <w:pPr>
        <w:pStyle w:val="5"/>
      </w:pPr>
      <w:bookmarkStart w:id="3" w:name="_Toc214931764"/>
      <w:r>
        <w:t>1.1.1 Non-spanning Formula</w:t>
      </w:r>
      <w:bookmarkEnd w:id="3"/>
    </w:p>
    <w:p w14:paraId="1B4A6A7A">
      <w:pPr>
        <w:jc w:val="center"/>
      </w:pPr>
      <m:oMathPara>
        <m:oMath>
          <m:sSubSup>
            <m:sSubSupP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sSubSupPr>
            <m:e>
              <m:r>
                <m:rPr>
                  <m:sty m:val="b"/>
                </m:rPr>
                <w:rPr>
                  <w:rFonts w:ascii="DejaVu Math TeX Gyre" w:hAnsi="DejaVu Math TeX Gyre" w:cstheme="minorBidi"/>
                  <w:sz w:val="22"/>
                  <w:szCs w:val="22"/>
                  <w:lang w:val="en-US" w:bidi="ar-SA"/>
                </w:rPr>
                <m:t>S</m:t>
              </m: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DejaVu Math TeX Gyre" w:hAnsi="DejaVu Math TeX Gyre" w:eastAsia="宋体" w:cstheme="minorBidi"/>
                  <w:sz w:val="22"/>
                  <w:szCs w:val="22"/>
                  <w:lang w:val="en-US" w:eastAsia="zh-CN" w:bidi="ar-SA"/>
                </w:rPr>
                <m:t>down</m:t>
              </m: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sub>
            <m:sup>
              <m:r>
                <m:rPr>
                  <m:sty m:val="b"/>
                </m:rPr>
                <w:rPr>
                  <w:rFonts w:hint="default" w:ascii="DejaVu Math TeX Gyre" w:hAnsi="DejaVu Math TeX Gyre" w:eastAsia="宋体" w:cstheme="minorBidi"/>
                  <w:sz w:val="22"/>
                  <w:szCs w:val="22"/>
                  <w:lang w:val="en-US" w:eastAsia="zh-CN" w:bidi="ar-SA"/>
                </w:rPr>
                <m:t>up</m:t>
              </m: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sup>
          </m:sSubSup>
          <m:r>
            <m:rPr>
              <m:sty m:val="b"/>
            </m:rPr>
            <w:rPr>
              <w:rFonts w:ascii="DejaVu Math TeX Gyre" w:hAnsi="DejaVu Math TeX Gyre" w:cstheme="minorBidi"/>
              <w:sz w:val="22"/>
              <w:szCs w:val="22"/>
              <w:lang w:val="en-US" w:bidi="ar-SA"/>
            </w:rPr>
            <m:t>=</m:t>
          </m:r>
          <m:f>
            <m:fP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fPr>
            <m:num>
              <m:r>
                <m:rPr>
                  <m:sty m:val="b"/>
                </m:rPr>
                <w:rPr>
                  <w:rFonts w:ascii="DejaVu Math TeX Gyre" w:hAnsi="DejaVu Math TeX Gyre" w:cstheme="minorBidi"/>
                  <w:sz w:val="22"/>
                  <w:szCs w:val="22"/>
                  <w:lang w:val="en-US" w:bidi="ar-SA"/>
                </w:rPr>
                <m:t>A×Q×T</m:t>
              </m: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num>
            <m:den>
              <m:r>
                <m:rPr>
                  <m:sty m:val="b"/>
                </m:rPr>
                <w:rPr>
                  <w:rFonts w:ascii="DejaVu Math TeX Gyre" w:hAnsi="DejaVu Math TeX Gyre" w:cstheme="minorBidi"/>
                  <w:sz w:val="22"/>
                  <w:szCs w:val="22"/>
                  <w:lang w:val="en-US" w:bidi="ar-SA"/>
                </w:rPr>
                <m:t>C+R+I</m:t>
              </m:r>
              <m:ctrlPr>
                <w:rPr>
                  <w:rFonts w:ascii="DejaVu Math TeX Gyre" w:hAnsi="DejaVu Math TeX Gyre" w:cstheme="minorBidi"/>
                  <w:b/>
                  <w:sz w:val="22"/>
                  <w:szCs w:val="22"/>
                  <w:lang w:val="en-US" w:bidi="ar-SA"/>
                </w:rPr>
              </m:ctrlPr>
            </m:den>
          </m:f>
          <m:r>
            <m:rPr>
              <m:sty m:val="b"/>
            </m:rPr>
            <w:rPr>
              <w:rFonts w:ascii="DejaVu Math TeX Gyre" w:hAnsi="DejaVu Math TeX Gyre" w:cstheme="minorBidi"/>
              <w:sz w:val="22"/>
              <w:szCs w:val="22"/>
              <w:lang w:val="en-US" w:bidi="ar-SA"/>
            </w:rPr>
            <m:t xml:space="preserve"> </m:t>
          </m:r>
        </m:oMath>
      </m:oMathPara>
    </w:p>
    <w:p w14:paraId="6C165388">
      <w:pPr>
        <w:jc w:val="center"/>
        <w:rPr>
          <w:i/>
          <w:sz w:val="18"/>
        </w:rPr>
      </w:pPr>
      <w:r>
        <w:rPr>
          <w:i/>
          <w:sz w:val="18"/>
        </w:rPr>
        <w:t>Figure 1. Single picture on one line.</w:t>
      </w:r>
    </w:p>
    <w:p w14:paraId="4FFDD9CD">
      <w:pPr>
        <w:jc w:val="both"/>
        <w:rPr>
          <w:i/>
          <w:sz w:val="18"/>
        </w:rPr>
      </w:pPr>
    </w:p>
    <w:p w14:paraId="67565044">
      <w:pPr>
        <w:jc w:val="both"/>
        <w:rPr>
          <w:i/>
          <w:sz w:val="18"/>
        </w:rPr>
      </w:pPr>
    </w:p>
    <w:p w14:paraId="6123E45A">
      <w:r>
        <w:drawing>
          <wp:inline distT="0" distB="0" distL="114300" distR="114300">
            <wp:extent cx="5669280" cy="3077210"/>
            <wp:effectExtent l="0" t="0" r="2032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ADBB">
      <w:pPr>
        <w:jc w:val="center"/>
      </w:pPr>
      <w:r>
        <w:rPr>
          <w:i/>
          <w:sz w:val="18"/>
        </w:rPr>
        <w:t>Figure 2. Single row with two pictures.</w:t>
      </w:r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8C26F8A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1F73">
            <w:pPr>
              <w:jc w:val="center"/>
            </w:pPr>
            <w:r>
              <w:drawing>
                <wp:inline distT="0" distB="0" distL="114300" distR="114300">
                  <wp:extent cx="2697480" cy="1464310"/>
                  <wp:effectExtent l="0" t="0" r="2032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46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27DF">
            <w:pPr>
              <w:jc w:val="center"/>
            </w:pPr>
            <w:r>
              <w:drawing>
                <wp:inline distT="0" distB="0" distL="114300" distR="114300">
                  <wp:extent cx="2697480" cy="1464310"/>
                  <wp:effectExtent l="0" t="0" r="2032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46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4DB60">
      <w:pPr>
        <w:pStyle w:val="4"/>
      </w:pPr>
      <w:bookmarkStart w:id="4" w:name="_Toc290663294"/>
      <w:r>
        <w:t>1.2 Non-spanning Table</w:t>
      </w:r>
      <w:bookmarkEnd w:id="4"/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E4EA234">
        <w:trPr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AA52">
            <w:r>
              <w:t>Domain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1805">
            <w:r>
              <w:t>Potential gain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A4D8">
            <w:r>
              <w:t>Primary risk</w:t>
            </w:r>
          </w:p>
        </w:tc>
      </w:tr>
      <w:tr w14:paraId="30E638E4">
        <w:trPr>
          <w:jc w:val="center"/>
        </w:trPr>
        <w:tc>
          <w:tcPr>
            <w:tcW w:w="3120" w:type="dxa"/>
          </w:tcPr>
          <w:p w14:paraId="51D16CB3">
            <w:r>
              <w:t>Education</w:t>
            </w:r>
          </w:p>
        </w:tc>
        <w:tc>
          <w:tcPr>
            <w:tcW w:w="3120" w:type="dxa"/>
          </w:tcPr>
          <w:p w14:paraId="41C893F7">
            <w:r>
              <w:t>Adaptive practice and feedback</w:t>
            </w:r>
          </w:p>
        </w:tc>
        <w:tc>
          <w:tcPr>
            <w:tcW w:w="3120" w:type="dxa"/>
          </w:tcPr>
          <w:p w14:paraId="360B3ACB">
            <w:r>
              <w:t>Unequal access to validated tools</w:t>
            </w:r>
          </w:p>
        </w:tc>
      </w:tr>
      <w:tr w14:paraId="5D04CA35">
        <w:trPr>
          <w:jc w:val="center"/>
        </w:trPr>
        <w:tc>
          <w:tcPr>
            <w:tcW w:w="3120" w:type="dxa"/>
          </w:tcPr>
          <w:p w14:paraId="04B72302">
            <w:r>
              <w:t>Health</w:t>
            </w:r>
          </w:p>
        </w:tc>
        <w:tc>
          <w:tcPr>
            <w:tcW w:w="3120" w:type="dxa"/>
          </w:tcPr>
          <w:p w14:paraId="7462D553">
            <w:r>
              <w:t>Better intake summaries</w:t>
            </w:r>
          </w:p>
        </w:tc>
        <w:tc>
          <w:tcPr>
            <w:tcW w:w="3120" w:type="dxa"/>
          </w:tcPr>
          <w:p w14:paraId="0AC7EDD3">
            <w:r>
              <w:t>Unsafe advice without clinical oversight</w:t>
            </w:r>
          </w:p>
        </w:tc>
      </w:tr>
      <w:tr w14:paraId="4EB84B52">
        <w:trPr>
          <w:jc w:val="center"/>
        </w:trPr>
        <w:tc>
          <w:tcPr>
            <w:tcW w:w="3120" w:type="dxa"/>
          </w:tcPr>
          <w:p w14:paraId="0F09E87B">
            <w:r>
              <w:t>Public service</w:t>
            </w:r>
          </w:p>
        </w:tc>
        <w:tc>
          <w:tcPr>
            <w:tcW w:w="3120" w:type="dxa"/>
          </w:tcPr>
          <w:p w14:paraId="61A59673">
            <w:r>
              <w:t>Faster triage</w:t>
            </w:r>
          </w:p>
        </w:tc>
        <w:tc>
          <w:tcPr>
            <w:tcW w:w="3120" w:type="dxa"/>
          </w:tcPr>
          <w:p w14:paraId="069FC0D6">
            <w:r>
              <w:t>Opaque automated decisions</w:t>
            </w:r>
          </w:p>
        </w:tc>
      </w:tr>
    </w:tbl>
    <w:p w14:paraId="74419F46">
      <w:pPr>
        <w:pStyle w:val="4"/>
      </w:pPr>
      <w:bookmarkStart w:id="5" w:name="_Toc1800168980"/>
      <w:r>
        <w:t>1.3 Cross-page Formula Block</w:t>
      </w:r>
      <w:bookmarkEnd w:id="5"/>
    </w:p>
    <w:p w14:paraId="4B561115">
      <w:r>
        <w:t>The following intentionally long formula block is designed to cross a page boundary.</w:t>
      </w:r>
    </w:p>
    <w:p w14:paraId="3E0CB7FF">
      <w:pPr>
        <w:jc w:val="center"/>
      </w:pPr>
      <w:r>
        <w:rPr>
          <w:rFonts w:ascii="Cambria Math" w:hAnsi="Cambria Math"/>
          <w:b/>
          <w:sz w:val="22"/>
        </w:rPr>
        <w:t>Impact_1 = α1·Access + β1·Quality - γ1·Bias + δ1·HumanReview - λ1·DeploymentRisk</w:t>
      </w:r>
    </w:p>
    <w:p w14:paraId="24EB3A9C">
      <w:pPr>
        <w:jc w:val="center"/>
      </w:pPr>
      <w:r>
        <w:rPr>
          <w:rFonts w:ascii="Cambria Math" w:hAnsi="Cambria Math"/>
          <w:b/>
          <w:sz w:val="22"/>
        </w:rPr>
        <w:t>Impact_2 = α2·Access + β2·Quality - γ2·Bias + δ2·HumanReview - λ2·DeploymentRisk</w:t>
      </w:r>
    </w:p>
    <w:p w14:paraId="3578134C">
      <w:pPr>
        <w:jc w:val="center"/>
      </w:pPr>
      <w:r>
        <w:rPr>
          <w:rFonts w:ascii="Cambria Math" w:hAnsi="Cambria Math"/>
          <w:b/>
          <w:sz w:val="22"/>
        </w:rPr>
        <w:t>Impact_3 = α3·Access + β3·Quality - γ3·Bias + δ3·HumanReview - λ3·DeploymentRisk</w:t>
      </w:r>
    </w:p>
    <w:p w14:paraId="2917C3F9">
      <w:pPr>
        <w:jc w:val="center"/>
      </w:pPr>
      <w:r>
        <w:rPr>
          <w:rFonts w:ascii="Cambria Math" w:hAnsi="Cambria Math"/>
          <w:b/>
          <w:sz w:val="22"/>
        </w:rPr>
        <w:t>Impact_4 = α4·Access + β4·Quality - γ4·Bias + δ4·HumanReview - λ4·DeploymentRisk</w:t>
      </w:r>
    </w:p>
    <w:p w14:paraId="4EDB675B">
      <w:pPr>
        <w:jc w:val="center"/>
      </w:pPr>
      <w:r>
        <w:rPr>
          <w:rFonts w:ascii="Cambria Math" w:hAnsi="Cambria Math"/>
          <w:b/>
          <w:sz w:val="22"/>
        </w:rPr>
        <w:t>Impact_5 = α5·Access + β5·Quality - γ5·Bias + δ5·HumanReview - λ5·DeploymentRisk</w:t>
      </w:r>
    </w:p>
    <w:p w14:paraId="4909FE1D">
      <w:pPr>
        <w:jc w:val="center"/>
      </w:pPr>
      <w:r>
        <w:rPr>
          <w:rFonts w:ascii="Cambria Math" w:hAnsi="Cambria Math"/>
          <w:b/>
          <w:sz w:val="22"/>
        </w:rPr>
        <w:t>Impact_6 = α6·Access + β6·Quality - γ6·Bias + δ6·HumanReview - λ6·DeploymentRisk</w:t>
      </w:r>
    </w:p>
    <w:p w14:paraId="37512971">
      <w:pPr>
        <w:jc w:val="center"/>
      </w:pPr>
      <w:r>
        <w:rPr>
          <w:rFonts w:ascii="Cambria Math" w:hAnsi="Cambria Math"/>
          <w:b/>
          <w:sz w:val="22"/>
        </w:rPr>
        <w:t>Impact_7 = α7·Access + β7·Quality - γ7·Bias + δ7·HumanReview - λ7·DeploymentRisk</w:t>
      </w:r>
    </w:p>
    <w:p w14:paraId="4B66B2C4">
      <w:pPr>
        <w:jc w:val="center"/>
      </w:pPr>
      <w:r>
        <w:rPr>
          <w:rFonts w:ascii="Cambria Math" w:hAnsi="Cambria Math"/>
          <w:b/>
          <w:sz w:val="22"/>
        </w:rPr>
        <w:t>Impact_8 = α8·Access + β8·Quality - γ8·Bias + δ8·HumanReview - λ8·DeploymentRisk</w:t>
      </w:r>
    </w:p>
    <w:p w14:paraId="35E5131A">
      <w:pPr>
        <w:jc w:val="center"/>
      </w:pPr>
      <w:r>
        <w:rPr>
          <w:rFonts w:ascii="Cambria Math" w:hAnsi="Cambria Math"/>
          <w:b/>
          <w:sz w:val="22"/>
        </w:rPr>
        <w:t>Impact_9 = α9·Access + β9·Quality - γ9·Bias + δ9·HumanReview - λ9·DeploymentRisk</w:t>
      </w:r>
    </w:p>
    <w:p w14:paraId="734EF26C">
      <w:pPr>
        <w:jc w:val="center"/>
      </w:pPr>
      <w:r>
        <w:rPr>
          <w:rFonts w:ascii="Cambria Math" w:hAnsi="Cambria Math"/>
          <w:b/>
          <w:sz w:val="22"/>
        </w:rPr>
        <w:t>Impact_10 = α10·Access + β10·Quality - γ10·Bias + δ10·HumanReview - λ10·DeploymentRisk</w:t>
      </w:r>
    </w:p>
    <w:p w14:paraId="098A0E03">
      <w:pPr>
        <w:jc w:val="center"/>
      </w:pPr>
      <w:r>
        <w:rPr>
          <w:rFonts w:ascii="Cambria Math" w:hAnsi="Cambria Math"/>
          <w:b/>
          <w:sz w:val="22"/>
        </w:rPr>
        <w:t>Impact_11 = α11·Access + β11·Quality - γ11·Bias + δ11·HumanReview - λ11·DeploymentRisk</w:t>
      </w:r>
    </w:p>
    <w:p w14:paraId="4C58C97F">
      <w:pPr>
        <w:jc w:val="center"/>
      </w:pPr>
      <w:r>
        <w:rPr>
          <w:rFonts w:ascii="Cambria Math" w:hAnsi="Cambria Math"/>
          <w:b/>
          <w:sz w:val="22"/>
        </w:rPr>
        <w:t>Impact_12 = α12·Access + β12·Quality - γ12·Bias + δ12·HumanReview - λ12·DeploymentRisk</w:t>
      </w:r>
    </w:p>
    <w:p w14:paraId="1C2CA51E">
      <w:pPr>
        <w:jc w:val="center"/>
      </w:pPr>
      <w:r>
        <w:rPr>
          <w:rFonts w:ascii="Cambria Math" w:hAnsi="Cambria Math"/>
          <w:b/>
          <w:sz w:val="22"/>
        </w:rPr>
        <w:t>Impact_13 = α13·Access + β13·Quality - γ13·Bias + δ13·HumanReview - λ13·DeploymentRisk</w:t>
      </w:r>
    </w:p>
    <w:p w14:paraId="0DF70357">
      <w:pPr>
        <w:jc w:val="center"/>
      </w:pPr>
      <w:r>
        <w:rPr>
          <w:rFonts w:ascii="Cambria Math" w:hAnsi="Cambria Math"/>
          <w:b/>
          <w:sz w:val="22"/>
        </w:rPr>
        <w:t>Impact_14 = α14·Access + β14·Quality - γ14·Bias + δ14·HumanReview - λ14·DeploymentRisk</w:t>
      </w:r>
    </w:p>
    <w:p w14:paraId="7DEA3220">
      <w:pPr>
        <w:jc w:val="center"/>
      </w:pPr>
      <w:r>
        <w:rPr>
          <w:rFonts w:ascii="Cambria Math" w:hAnsi="Cambria Math"/>
          <w:b/>
          <w:sz w:val="22"/>
        </w:rPr>
        <w:t>Impact_15 = α15·Access + β15·Quality - γ15·Bias + δ15·HumanReview - λ15·DeploymentRisk</w:t>
      </w:r>
    </w:p>
    <w:p w14:paraId="53D08900">
      <w:pPr>
        <w:jc w:val="center"/>
      </w:pPr>
      <w:r>
        <w:rPr>
          <w:rFonts w:ascii="Cambria Math" w:hAnsi="Cambria Math"/>
          <w:b/>
          <w:sz w:val="22"/>
        </w:rPr>
        <w:t>Impact_16 = α16·Access + β16·Quality - γ16·Bias + δ16·HumanReview - λ16·DeploymentRisk</w:t>
      </w:r>
    </w:p>
    <w:p w14:paraId="3714EBE2">
      <w:pPr>
        <w:jc w:val="center"/>
      </w:pPr>
      <w:r>
        <w:rPr>
          <w:rFonts w:ascii="Cambria Math" w:hAnsi="Cambria Math"/>
          <w:b/>
          <w:sz w:val="22"/>
        </w:rPr>
        <w:t>Impact_17 = α17·Access + β17·Quality - γ17·Bias + δ17·HumanReview - λ17·DeploymentRisk</w:t>
      </w:r>
    </w:p>
    <w:p w14:paraId="7F3F32A5">
      <w:pPr>
        <w:jc w:val="center"/>
      </w:pPr>
      <w:r>
        <w:rPr>
          <w:rFonts w:ascii="Cambria Math" w:hAnsi="Cambria Math"/>
          <w:b/>
          <w:sz w:val="22"/>
        </w:rPr>
        <w:t>Impact_18 = α18·Access + β18·Quality - γ18·Bias + δ18·HumanReview - λ18·DeploymentRisk</w:t>
      </w:r>
    </w:p>
    <w:p w14:paraId="3F5FCE11">
      <w:pPr>
        <w:jc w:val="center"/>
      </w:pPr>
      <w:r>
        <w:rPr>
          <w:rFonts w:ascii="Cambria Math" w:hAnsi="Cambria Math"/>
          <w:b/>
          <w:sz w:val="22"/>
        </w:rPr>
        <w:t>Impact_19 = α19·Access + β19·Quality - γ19·Bias + δ19·HumanReview - λ19·DeploymentRisk</w:t>
      </w:r>
    </w:p>
    <w:p w14:paraId="1735DB5F">
      <w:pPr>
        <w:jc w:val="center"/>
      </w:pPr>
      <w:r>
        <w:rPr>
          <w:rFonts w:ascii="Cambria Math" w:hAnsi="Cambria Math"/>
          <w:b/>
          <w:sz w:val="22"/>
        </w:rPr>
        <w:t>Impact_20 = α20·Access + β20·Quality - γ20·Bias + δ20·HumanReview - λ20·DeploymentRisk</w:t>
      </w:r>
    </w:p>
    <w:p w14:paraId="6DD4F8C0">
      <w:pPr>
        <w:jc w:val="center"/>
      </w:pPr>
      <w:r>
        <w:rPr>
          <w:rFonts w:ascii="Cambria Math" w:hAnsi="Cambria Math"/>
          <w:b/>
          <w:sz w:val="22"/>
        </w:rPr>
        <w:t>Impact_21 = α21·Access + β21·Quality - γ21·Bias + δ21·HumanReview - λ21·DeploymentRisk</w:t>
      </w:r>
    </w:p>
    <w:p w14:paraId="179E6DC2">
      <w:pPr>
        <w:jc w:val="center"/>
      </w:pPr>
      <w:r>
        <w:rPr>
          <w:rFonts w:ascii="Cambria Math" w:hAnsi="Cambria Math"/>
          <w:b/>
          <w:sz w:val="22"/>
        </w:rPr>
        <w:t>Impact_22 = α22·Access + β22·Quality - γ22·Bias + δ22·HumanReview - λ22·DeploymentRisk</w:t>
      </w:r>
    </w:p>
    <w:p w14:paraId="2B876D1F">
      <w:pPr>
        <w:jc w:val="center"/>
      </w:pPr>
      <w:r>
        <w:rPr>
          <w:rFonts w:ascii="Cambria Math" w:hAnsi="Cambria Math"/>
          <w:b/>
          <w:sz w:val="22"/>
        </w:rPr>
        <w:t>Impact_23 = α23·Access + β23·Quality - γ23·Bias + δ23·HumanReview - λ23·DeploymentRisk</w:t>
      </w:r>
    </w:p>
    <w:p w14:paraId="65E82072">
      <w:pPr>
        <w:jc w:val="center"/>
      </w:pPr>
      <w:r>
        <w:rPr>
          <w:rFonts w:ascii="Cambria Math" w:hAnsi="Cambria Math"/>
          <w:b/>
          <w:sz w:val="22"/>
        </w:rPr>
        <w:t>Impact_24 = α24·Access + β24·Quality - γ24·Bias + δ24·HumanReview - λ24·DeploymentRisk</w:t>
      </w:r>
    </w:p>
    <w:p w14:paraId="14B253DE">
      <w:pPr>
        <w:jc w:val="center"/>
      </w:pPr>
      <w:r>
        <w:rPr>
          <w:rFonts w:ascii="Cambria Math" w:hAnsi="Cambria Math"/>
          <w:b/>
          <w:sz w:val="22"/>
        </w:rPr>
        <w:t>Impact_25 = α25·Access + β25·Quality - γ25·Bias + δ25·HumanReview - λ25·DeploymentRisk</w:t>
      </w:r>
    </w:p>
    <w:p w14:paraId="29E021C7">
      <w:pPr>
        <w:jc w:val="center"/>
      </w:pPr>
      <w:r>
        <w:rPr>
          <w:rFonts w:ascii="Cambria Math" w:hAnsi="Cambria Math"/>
          <w:b/>
          <w:sz w:val="22"/>
        </w:rPr>
        <w:t>Impact_26 = α26·Access + β26·Quality - γ26·Bias + δ26·HumanReview - λ26·DeploymentRisk</w:t>
      </w:r>
    </w:p>
    <w:p w14:paraId="317DAB9D">
      <w:pPr>
        <w:jc w:val="center"/>
      </w:pPr>
      <w:r>
        <w:rPr>
          <w:rFonts w:ascii="Cambria Math" w:hAnsi="Cambria Math"/>
          <w:b/>
          <w:sz w:val="22"/>
        </w:rPr>
        <w:t>Impact_27 = α27·Access + β27·Quality - γ27·Bias + δ27·HumanReview - λ27·DeploymentRisk</w:t>
      </w:r>
    </w:p>
    <w:p w14:paraId="7B74E2D8">
      <w:pPr>
        <w:jc w:val="center"/>
      </w:pPr>
      <w:r>
        <w:rPr>
          <w:rFonts w:ascii="Cambria Math" w:hAnsi="Cambria Math"/>
          <w:b/>
          <w:sz w:val="22"/>
        </w:rPr>
        <w:t>Impact_28 = α28·Access + β28·Quality - γ28·Bias + δ28·HumanReview - λ28·DeploymentRisk</w:t>
      </w:r>
    </w:p>
    <w:p w14:paraId="04A94F5C">
      <w:pPr>
        <w:jc w:val="center"/>
        <w:rPr>
          <w:rFonts w:ascii="Cambria Math" w:hAnsi="Cambria Math"/>
          <w:b/>
          <w:sz w:val="22"/>
        </w:rPr>
      </w:pPr>
      <w:r>
        <w:rPr>
          <w:rFonts w:ascii="Cambria Math" w:hAnsi="Cambria Math"/>
          <w:b/>
          <w:sz w:val="22"/>
        </w:rPr>
        <w:t>Impact_29 = α29·Access + β29·Quality - γ29·Bias + δ29·HumanReview - λ29·DeploymentRisk</w:t>
      </w:r>
    </w:p>
    <w:p w14:paraId="5FB95DAE">
      <w:pPr>
        <w:jc w:val="center"/>
        <w:rPr>
          <w:rFonts w:ascii="Cambria Math" w:hAnsi="Cambria Math"/>
          <w:b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16510</wp:posOffset>
                </wp:positionV>
                <wp:extent cx="2592070" cy="566420"/>
                <wp:effectExtent l="6350" t="6350" r="17780" b="1143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0765" y="4260850"/>
                          <a:ext cx="2592070" cy="566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F88D4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I am a text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95pt;margin-top:1.3pt;height:44.6pt;width:204.1pt;z-index:251659264;mso-width-relative:page;mso-height-relative:page;" fillcolor="#FFFFFF [3201]" filled="t" stroked="t" coordsize="21600,21600" o:gfxdata="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VrCdA0wAAAAcBAAAPAAAAAAAAAAEAIAAAACIAAABkcnMvZG93bnJldi54bWxQSwECFAAUAAAA&#10;CACHTuJAOFkR72UCAADF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FF88D4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I am a text field.</w:t>
                      </w:r>
                    </w:p>
                  </w:txbxContent>
                </v:textbox>
              </v:shape>
            </w:pict>
          </mc:Fallback>
        </mc:AlternateContent>
      </w:r>
    </w:p>
    <w:p w14:paraId="56DBC577">
      <w:pPr>
        <w:jc w:val="both"/>
        <w:rPr>
          <w:rFonts w:ascii="Cambria Math" w:hAnsi="Cambria Math"/>
          <w:b/>
          <w:sz w:val="22"/>
        </w:rPr>
      </w:pPr>
    </w:p>
    <w:p w14:paraId="7839E6FD">
      <w:pPr>
        <w:jc w:val="both"/>
        <w:rPr>
          <w:rFonts w:ascii="Cambria Math" w:hAnsi="Cambria Math"/>
          <w:b/>
          <w:sz w:val="22"/>
        </w:rPr>
      </w:pPr>
    </w:p>
    <w:p w14:paraId="1DB0D9D2">
      <w:pPr>
        <w:jc w:val="both"/>
        <w:rPr>
          <w:rFonts w:ascii="Cambria Math" w:hAnsi="Cambria Math"/>
          <w:b/>
          <w:sz w:val="22"/>
        </w:rPr>
      </w:pPr>
    </w:p>
    <w:p w14:paraId="1EB0EF60">
      <w:pPr>
        <w:jc w:val="both"/>
        <w:rPr>
          <w:rFonts w:hint="eastAsia" w:ascii="Cambria Math" w:hAnsi="Cambria Math" w:eastAsia="宋体"/>
          <w:b/>
          <w:sz w:val="22"/>
          <w:lang w:eastAsia="zh-CN"/>
        </w:rPr>
      </w:pPr>
      <w:r>
        <w:rPr>
          <w:rFonts w:hint="eastAsia" w:ascii="Cambria Math" w:hAnsi="Cambria Math" w:eastAsia="宋体"/>
          <w:b/>
          <w:sz w:val="22"/>
          <w:lang w:eastAsia="zh-CN"/>
        </w:rPr>
        <w:drawing>
          <wp:inline distT="0" distB="0" distL="114300" distR="114300">
            <wp:extent cx="5256530" cy="2988310"/>
            <wp:effectExtent l="6350" t="6350" r="20320" b="27940"/>
            <wp:docPr id="15" name="图表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2191997">
      <w:pPr>
        <w:jc w:val="both"/>
        <w:rPr>
          <w:rFonts w:ascii="Cambria Math" w:hAnsi="Cambria Math"/>
          <w:b/>
          <w:sz w:val="22"/>
        </w:rPr>
      </w:pPr>
    </w:p>
    <w:p w14:paraId="21788B6A">
      <w:pPr>
        <w:pStyle w:val="4"/>
      </w:pPr>
      <w:bookmarkStart w:id="6" w:name="_Toc1690427924"/>
      <w:r>
        <w:t>1.4 Embedded Objects</w:t>
      </w:r>
      <w:bookmarkEnd w:id="6"/>
    </w:p>
    <w:p w14:paraId="13DF3AF5">
      <w:pPr>
        <w:rPr>
          <w:rFonts w:hint="eastAsia" w:eastAsia="宋体"/>
          <w:lang w:eastAsia="zh-CN"/>
        </w:rPr>
      </w:pPr>
      <w:r>
        <w:t>Embedded TXT object anchor:</w:t>
      </w:r>
      <w:r>
        <w:object>
          <v:shape id="_x0000_i1025" o:spt="75" type="#_x0000_t75" style="height:60pt;width:60pt;" o:ole="t" filled="f" o:preferrelative="t" stroked="f" coordsize="21600,21600">
            <v:path/>
            <v:fill on="f" focussize="0,0"/>
            <v:stroke on="f"/>
            <v:imagedata r:id="rId15" o:title="oleimage"/>
            <o:lock v:ext="edit" aspectratio="t"/>
            <w10:wrap type="none"/>
            <w10:anchorlock/>
          </v:shape>
          <o:OLEObject Type="Embed" ProgID="Package" ShapeID="_x0000_i1025" DrawAspect="Icon" ObjectID="_1468075725" r:id="rId14">
            <o:LockedField>false</o:LockedField>
          </o:OLEObject>
        </w:object>
      </w:r>
    </w:p>
    <w:p w14:paraId="559D695D">
      <w:pPr>
        <w:rPr>
          <w:rFonts w:hint="eastAsia" w:eastAsia="宋体"/>
          <w:lang w:eastAsia="zh-CN"/>
        </w:rPr>
      </w:pPr>
      <w:r>
        <w:t>Embedded CSV object anchor:</w:t>
      </w:r>
      <w:r>
        <w:object>
          <v:shape id="_x0000_i1026" o:spt="75" type="#_x0000_t75" style="height:60pt;width:60pt;" o:ole="t" filled="f" o:preferrelative="t" stroked="f" coordsize="21600,21600">
            <v:path/>
            <v:fill on="f" focussize="0,0"/>
            <v:stroke on="f"/>
            <v:imagedata r:id="rId17" o:title="oleimage"/>
            <o:lock v:ext="edit" aspectratio="t"/>
            <w10:wrap type="none"/>
            <w10:anchorlock/>
          </v:shape>
          <o:OLEObject Type="Embed" ProgID="Package" ShapeID="_x0000_i1026" DrawAspect="Icon" ObjectID="_1468075726" r:id="rId16">
            <o:LockedField>false</o:LockedField>
          </o:OLEObject>
        </w:object>
      </w:r>
    </w:p>
    <w:p w14:paraId="5B6673D4">
      <w:pPr>
        <w:rPr>
          <w:rFonts w:hint="eastAsia" w:eastAsia="宋体"/>
          <w:lang w:eastAsia="zh-CN"/>
        </w:rPr>
      </w:pPr>
      <w:r>
        <w:t>Embedded XLSX object anchor:</w:t>
      </w:r>
      <w:r>
        <w:object>
          <v:shape id="_x0000_i1027" o:spt="75" type="#_x0000_t75" style="height:60pt;width:60pt;" o:ole="t" filled="f" o:preferrelative="t" stroked="f" coordsize="21600,21600">
            <v:path/>
            <v:fill on="f" focussize="0,0"/>
            <v:stroke on="f"/>
            <v:imagedata r:id="rId19" o:title="oleimage"/>
            <o:lock v:ext="edit" aspectratio="t"/>
            <w10:wrap type="none"/>
            <w10:anchorlock/>
          </v:shape>
          <o:OLEObject Type="Embed" ProgID="Excel.Sheet.12" ShapeID="_x0000_i1027" DrawAspect="Icon" ObjectID="_1468075727" r:id="rId18">
            <o:LockedField>false</o:LockedField>
          </o:OLEObject>
        </w:object>
      </w:r>
    </w:p>
    <w:p w14:paraId="2F1A25C0">
      <w:pPr>
        <w:rPr>
          <w:rFonts w:hint="eastAsia" w:eastAsia="宋体"/>
          <w:lang w:eastAsia="zh-CN"/>
        </w:rPr>
      </w:pPr>
      <w:r>
        <w:t>Embedded PDF object anchor:</w:t>
      </w:r>
      <w:r>
        <w:object>
          <v:shape id="_x0000_i1028" o:spt="75" type="#_x0000_t75" style="height:60pt;width:60pt;" o:ole="t" filled="f" o:preferrelative="t" stroked="f" coordsize="21600,21600">
            <v:path/>
            <v:fill on="f" focussize="0,0"/>
            <v:stroke on="f"/>
            <v:imagedata r:id="rId21" o:title="oleimage"/>
            <o:lock v:ext="edit" aspectratio="t"/>
            <w10:wrap type="none"/>
            <w10:anchorlock/>
          </v:shape>
          <o:OLEObject Type="Embed" ProgID="Package" ShapeID="_x0000_i1028" DrawAspect="Icon" ObjectID="_1468075728" r:id="rId20">
            <o:LockedField>false</o:LockedField>
          </o:OLEObject>
        </w:object>
      </w:r>
    </w:p>
    <w:p w14:paraId="6FA5A720">
      <w:pPr>
        <w:bidi w:val="0"/>
        <w:rPr>
          <w:rFonts w:hint="eastAsia" w:eastAsia="宋体"/>
          <w:lang w:eastAsia="zh-CN"/>
        </w:rPr>
      </w:pPr>
      <w:r>
        <w:t>Embedded DOCX object anchor:</w:t>
      </w:r>
      <w:bookmarkStart w:id="7" w:name="_Toc1960952505"/>
      <w:r>
        <w:object>
          <v:shape id="_x0000_i1029" o:spt="75" type="#_x0000_t75" style="height:60pt;width:60pt;" o:ole="t" filled="f" o:preferrelative="t" stroked="f" coordsize="21600,21600">
            <v:path/>
            <v:fill on="f" focussize="0,0"/>
            <v:stroke on="f"/>
            <v:imagedata r:id="rId23" o:title="oleimage"/>
            <o:lock v:ext="edit" aspectratio="t"/>
            <w10:wrap type="none"/>
            <w10:anchorlock/>
          </v:shape>
          <o:OLEObject Type="Embed" ProgID="Word.Document.12" ShapeID="_x0000_i1029" DrawAspect="Icon" ObjectID="_1468075729" r:id="rId22">
            <o:LockedField>false</o:LockedField>
          </o:OLEObject>
        </w:object>
      </w:r>
    </w:p>
    <w:p w14:paraId="4666630B">
      <w:pPr>
        <w:pStyle w:val="3"/>
      </w:pPr>
    </w:p>
    <w:p w14:paraId="05B2D115">
      <w:pPr>
        <w:pStyle w:val="3"/>
      </w:pPr>
      <w:r>
        <w:t>2. 中文部分：大语言模型对社会治理与劳动的影响</w:t>
      </w:r>
      <w:bookmarkEnd w:id="7"/>
    </w:p>
    <w:p w14:paraId="31584F11">
      <w:r>
        <w:t>大语言模型正在改变知识生产、公共服务、企业流程和个人表达方式。本段用于验证中文正文、脚注引用 [F1]、换行以及多段落解析。</w:t>
      </w:r>
    </w:p>
    <w:p w14:paraId="58F5290F">
      <w:r>
        <w:t>在教育场景中，模型可以帮助学生获得即时反馈，但学校仍需要教师监督、内容审查和公平访问机制。</w:t>
      </w:r>
    </w:p>
    <w:p w14:paraId="6DFAE35D">
      <w:pPr>
        <w:pStyle w:val="4"/>
      </w:pPr>
      <w:bookmarkStart w:id="8" w:name="_Toc297221026"/>
      <w:r>
        <w:t>2.1 多级编号：治理实施路径</w:t>
      </w:r>
      <w:bookmarkEnd w:id="8"/>
    </w:p>
    <w:p w14:paraId="53820B7B">
      <w:pPr>
        <w:pStyle w:val="14"/>
      </w:pPr>
      <w:r>
        <w:t>建立风险分级</w:t>
      </w:r>
      <w:r>
        <w:drawing>
          <wp:inline distT="0" distB="0" distL="114300" distR="114300">
            <wp:extent cx="2697480" cy="1517015"/>
            <wp:effectExtent l="0" t="0" r="20320" b="698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5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79BC">
      <w:pPr>
        <w:pStyle w:val="13"/>
      </w:pPr>
      <w:r>
        <w:t>1.a Evidence checkpoint for 建立风险分级.</w:t>
      </w:r>
    </w:p>
    <w:p w14:paraId="1BF1B692">
      <w:pPr>
        <w:pStyle w:val="14"/>
      </w:pPr>
      <w:r>
        <w:t>设置人工复核</w:t>
      </w:r>
    </w:p>
    <w:p w14:paraId="7959ECF4">
      <w:pPr>
        <w:pStyle w:val="13"/>
      </w:pPr>
      <w:r>
        <w:t>2.a Evidence checkpoint for 设置人工复核.</w:t>
      </w:r>
    </w:p>
    <w:p w14:paraId="2DE10F68">
      <w:pPr>
        <w:pStyle w:val="14"/>
      </w:pPr>
      <w:r>
        <w:t>记录模型输出</w:t>
      </w:r>
    </w:p>
    <w:p w14:paraId="4F134693">
      <w:pPr>
        <w:pStyle w:val="13"/>
      </w:pPr>
      <w:r>
        <w:t>3.a Evidence checkpoint for 记录模型输出.</w:t>
      </w:r>
    </w:p>
    <w:p w14:paraId="00019668">
      <w:pPr>
        <w:pStyle w:val="14"/>
      </w:pPr>
      <w:r>
        <w:t>开放申诉通道</w:t>
      </w:r>
    </w:p>
    <w:p w14:paraId="7023D6E3">
      <w:pPr>
        <w:pStyle w:val="13"/>
      </w:pPr>
      <w:r>
        <w:t>4.a Evidence checkpoint for 开放申诉通道.</w:t>
      </w:r>
    </w:p>
    <w:p w14:paraId="3D8B02C6">
      <w:pPr>
        <w:pStyle w:val="4"/>
      </w:pPr>
      <w:bookmarkStart w:id="9" w:name="_Toc346821060"/>
      <w:r>
        <w:t>2.2 单行复杂信息图</w:t>
      </w:r>
      <w:bookmarkEnd w:id="9"/>
    </w:p>
    <w:p w14:paraId="195C8DEB">
      <w:r>
        <w:drawing>
          <wp:inline distT="0" distB="0" distL="114300" distR="114300">
            <wp:extent cx="5760720" cy="3240405"/>
            <wp:effectExtent l="0" t="0" r="508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255D">
      <w:pPr>
        <w:pStyle w:val="4"/>
      </w:pPr>
      <w:bookmarkStart w:id="10" w:name="_Toc750937462"/>
      <w:r>
        <w:t>2.3 单行多个复杂信息图</w:t>
      </w:r>
      <w:bookmarkEnd w:id="10"/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6BBCDE5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25FD">
            <w:pPr>
              <w:jc w:val="center"/>
            </w:pPr>
            <w:r>
              <w:drawing>
                <wp:inline distT="0" distB="0" distL="114300" distR="114300">
                  <wp:extent cx="2697480" cy="1517015"/>
                  <wp:effectExtent l="0" t="0" r="2032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C2B0">
            <w:pPr>
              <w:jc w:val="center"/>
            </w:pPr>
            <w:r>
              <w:drawing>
                <wp:inline distT="0" distB="0" distL="114300" distR="114300">
                  <wp:extent cx="2697480" cy="1517015"/>
                  <wp:effectExtent l="0" t="0" r="2032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010AC">
      <w:pPr>
        <w:pStyle w:val="4"/>
      </w:pPr>
      <w:bookmarkStart w:id="11" w:name="_Toc244530415"/>
      <w:r>
        <w:t>2.4 跨页表格：社会影响指标</w:t>
      </w:r>
      <w:bookmarkEnd w:id="11"/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B22D6FB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4CD6">
            <w:r>
              <w:t>序号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7605">
            <w:r>
              <w:t>指标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F91B">
            <w:r>
              <w:t>观察结果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895B">
            <w:r>
              <w:t>缓解措施</w:t>
            </w:r>
          </w:p>
        </w:tc>
      </w:tr>
      <w:tr w14:paraId="22F092CD">
        <w:trPr>
          <w:jc w:val="center"/>
        </w:trPr>
        <w:tc>
          <w:tcPr>
            <w:tcW w:w="2340" w:type="dxa"/>
          </w:tcPr>
          <w:p w14:paraId="58E3C1D9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0D14B51">
            <w:r>
              <w:t>影响维度 1</w:t>
            </w:r>
          </w:p>
        </w:tc>
        <w:tc>
          <w:tcPr>
            <w:tcW w:w="2340" w:type="dxa"/>
          </w:tcPr>
          <w:p w14:paraId="7C8B17F7">
            <w:r>
              <w:t>第 1 项观察说明：覆盖就业、教育、隐私或治理。</w:t>
            </w:r>
          </w:p>
        </w:tc>
        <w:tc>
          <w:tcPr>
            <w:tcW w:w="2340" w:type="dxa"/>
          </w:tcPr>
          <w:p w14:paraId="6C43F8A5">
            <w:r>
              <w:t>人工复核、透明披露、周期评估</w:t>
            </w:r>
          </w:p>
        </w:tc>
      </w:tr>
      <w:tr w14:paraId="6D73EB58">
        <w:trPr>
          <w:jc w:val="center"/>
        </w:trPr>
        <w:tc>
          <w:tcPr>
            <w:tcW w:w="2340" w:type="dxa"/>
          </w:tcPr>
          <w:p w14:paraId="7BE07525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20C4B5F">
            <w:r>
              <w:t>影响维度 2</w:t>
            </w:r>
          </w:p>
        </w:tc>
        <w:tc>
          <w:tcPr>
            <w:tcW w:w="2340" w:type="dxa"/>
          </w:tcPr>
          <w:p w14:paraId="42A6175D">
            <w:r>
              <w:t>第 2 项观察说明：覆盖就业、教育、隐私或治理。</w:t>
            </w:r>
          </w:p>
        </w:tc>
        <w:tc>
          <w:tcPr>
            <w:tcW w:w="2340" w:type="dxa"/>
          </w:tcPr>
          <w:p w14:paraId="50E5B2FA">
            <w:r>
              <w:t>人工复核、透明披露、周期评估</w:t>
            </w:r>
          </w:p>
        </w:tc>
      </w:tr>
      <w:tr w14:paraId="13DDC06B">
        <w:trPr>
          <w:jc w:val="center"/>
        </w:trPr>
        <w:tc>
          <w:tcPr>
            <w:tcW w:w="2340" w:type="dxa"/>
          </w:tcPr>
          <w:p w14:paraId="00B8E8FA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6BCF81B5">
            <w:r>
              <w:t>影响维度 3</w:t>
            </w:r>
          </w:p>
        </w:tc>
        <w:tc>
          <w:tcPr>
            <w:tcW w:w="2340" w:type="dxa"/>
          </w:tcPr>
          <w:p w14:paraId="5C7EF61F">
            <w:r>
              <w:t>第 3 项观察说明：覆盖就业、教育、隐私或治理。</w:t>
            </w:r>
          </w:p>
        </w:tc>
        <w:tc>
          <w:tcPr>
            <w:tcW w:w="2340" w:type="dxa"/>
          </w:tcPr>
          <w:p w14:paraId="66957752">
            <w:r>
              <w:t>人工复核、透明披露、周期评估</w:t>
            </w:r>
          </w:p>
        </w:tc>
      </w:tr>
      <w:tr w14:paraId="768F33C3">
        <w:trPr>
          <w:jc w:val="center"/>
        </w:trPr>
        <w:tc>
          <w:tcPr>
            <w:tcW w:w="2340" w:type="dxa"/>
          </w:tcPr>
          <w:p w14:paraId="51C01E16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6D5A16F">
            <w:r>
              <w:t>影响维度 4</w:t>
            </w:r>
          </w:p>
        </w:tc>
        <w:tc>
          <w:tcPr>
            <w:tcW w:w="2340" w:type="dxa"/>
          </w:tcPr>
          <w:p w14:paraId="0DD3D337">
            <w:r>
              <w:t>第 4 项观察说明：覆盖就业、教育、隐私或治理。</w:t>
            </w:r>
          </w:p>
        </w:tc>
        <w:tc>
          <w:tcPr>
            <w:tcW w:w="2340" w:type="dxa"/>
          </w:tcPr>
          <w:p w14:paraId="26D04F8D">
            <w:r>
              <w:t>人工复核、透明披露、周期评估</w:t>
            </w:r>
          </w:p>
        </w:tc>
      </w:tr>
      <w:tr w14:paraId="34D02FA2">
        <w:trPr>
          <w:jc w:val="center"/>
        </w:trPr>
        <w:tc>
          <w:tcPr>
            <w:tcW w:w="2340" w:type="dxa"/>
          </w:tcPr>
          <w:p w14:paraId="277C8FA6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6637522">
            <w:r>
              <w:t>影响维度 5</w:t>
            </w:r>
          </w:p>
        </w:tc>
        <w:tc>
          <w:tcPr>
            <w:tcW w:w="2340" w:type="dxa"/>
          </w:tcPr>
          <w:p w14:paraId="7E29F6CF">
            <w:r>
              <w:t>第 5 项观察说明：覆盖就业、教育、隐私或治理。</w:t>
            </w:r>
          </w:p>
        </w:tc>
        <w:tc>
          <w:tcPr>
            <w:tcW w:w="2340" w:type="dxa"/>
          </w:tcPr>
          <w:p w14:paraId="55C2F3E1">
            <w:r>
              <w:t>人工复核、透明披露、周期评估</w:t>
            </w:r>
          </w:p>
        </w:tc>
      </w:tr>
      <w:tr w14:paraId="01947270">
        <w:trPr>
          <w:jc w:val="center"/>
        </w:trPr>
        <w:tc>
          <w:tcPr>
            <w:tcW w:w="2340" w:type="dxa"/>
          </w:tcPr>
          <w:p w14:paraId="1EE105BD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840922A">
            <w:r>
              <w:t>影响维度 6</w:t>
            </w:r>
          </w:p>
        </w:tc>
        <w:tc>
          <w:tcPr>
            <w:tcW w:w="2340" w:type="dxa"/>
          </w:tcPr>
          <w:p w14:paraId="566A8E98">
            <w:r>
              <w:t>第 6 项观察说明：覆盖就业、教育、隐私或治理。</w:t>
            </w:r>
          </w:p>
        </w:tc>
        <w:tc>
          <w:tcPr>
            <w:tcW w:w="2340" w:type="dxa"/>
          </w:tcPr>
          <w:p w14:paraId="5871609D">
            <w:r>
              <w:t>人工复核、透明披露、周期评估</w:t>
            </w:r>
          </w:p>
        </w:tc>
      </w:tr>
      <w:tr w14:paraId="448605D1">
        <w:trPr>
          <w:jc w:val="center"/>
        </w:trPr>
        <w:tc>
          <w:tcPr>
            <w:tcW w:w="2340" w:type="dxa"/>
          </w:tcPr>
          <w:p w14:paraId="6340682E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019D28E3">
            <w:r>
              <w:t>影响维度 7</w:t>
            </w:r>
          </w:p>
        </w:tc>
        <w:tc>
          <w:tcPr>
            <w:tcW w:w="2340" w:type="dxa"/>
          </w:tcPr>
          <w:p w14:paraId="38B0DBA6">
            <w:r>
              <w:t>第 7 项观察说明：覆盖就业、教育、隐私或治理。</w:t>
            </w:r>
          </w:p>
        </w:tc>
        <w:tc>
          <w:tcPr>
            <w:tcW w:w="2340" w:type="dxa"/>
          </w:tcPr>
          <w:p w14:paraId="3DC72477">
            <w:r>
              <w:t>人工复核、透明披露、周期评估</w:t>
            </w:r>
          </w:p>
        </w:tc>
      </w:tr>
      <w:tr w14:paraId="2D91601B">
        <w:trPr>
          <w:jc w:val="center"/>
        </w:trPr>
        <w:tc>
          <w:tcPr>
            <w:tcW w:w="2340" w:type="dxa"/>
          </w:tcPr>
          <w:p w14:paraId="04FEB530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40872C7F">
            <w:r>
              <w:t>影响维度 8</w:t>
            </w:r>
          </w:p>
        </w:tc>
        <w:tc>
          <w:tcPr>
            <w:tcW w:w="2340" w:type="dxa"/>
          </w:tcPr>
          <w:p w14:paraId="4B53663C">
            <w:r>
              <w:t>第 8 项观察说明：覆盖就业、教育、隐私或治理。</w:t>
            </w:r>
          </w:p>
        </w:tc>
        <w:tc>
          <w:tcPr>
            <w:tcW w:w="2340" w:type="dxa"/>
          </w:tcPr>
          <w:p w14:paraId="4D12B35F">
            <w:r>
              <w:t>人工复核、透明披露、周期评估</w:t>
            </w:r>
          </w:p>
        </w:tc>
      </w:tr>
      <w:tr w14:paraId="6E663EE6">
        <w:trPr>
          <w:jc w:val="center"/>
        </w:trPr>
        <w:tc>
          <w:tcPr>
            <w:tcW w:w="2340" w:type="dxa"/>
          </w:tcPr>
          <w:p w14:paraId="1AD270EE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58C6D0E1">
            <w:r>
              <w:t>影响维度 9</w:t>
            </w:r>
          </w:p>
        </w:tc>
        <w:tc>
          <w:tcPr>
            <w:tcW w:w="2340" w:type="dxa"/>
          </w:tcPr>
          <w:p w14:paraId="02A6F2A9">
            <w:r>
              <w:t>第 9 项观察说明：覆盖就业、教育、隐私或治理。</w:t>
            </w:r>
          </w:p>
        </w:tc>
        <w:tc>
          <w:tcPr>
            <w:tcW w:w="2340" w:type="dxa"/>
          </w:tcPr>
          <w:p w14:paraId="2550FB7B">
            <w:r>
              <w:t>人工复核、透明披露、周期评估</w:t>
            </w:r>
          </w:p>
        </w:tc>
      </w:tr>
      <w:tr w14:paraId="15ADFEBA">
        <w:trPr>
          <w:jc w:val="center"/>
        </w:trPr>
        <w:tc>
          <w:tcPr>
            <w:tcW w:w="2340" w:type="dxa"/>
          </w:tcPr>
          <w:p w14:paraId="49FAFEAF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2D2F1B9">
            <w:r>
              <w:t>影响维度 10</w:t>
            </w:r>
          </w:p>
        </w:tc>
        <w:tc>
          <w:tcPr>
            <w:tcW w:w="2340" w:type="dxa"/>
          </w:tcPr>
          <w:p w14:paraId="2BB998B8">
            <w:r>
              <w:t>第 10 项观察说明：覆盖就业、教育、隐私或治理。</w:t>
            </w:r>
          </w:p>
        </w:tc>
        <w:tc>
          <w:tcPr>
            <w:tcW w:w="2340" w:type="dxa"/>
          </w:tcPr>
          <w:p w14:paraId="027E2405">
            <w:r>
              <w:t>人工复核、透明披露、周期评估</w:t>
            </w:r>
          </w:p>
        </w:tc>
      </w:tr>
      <w:tr w14:paraId="622AC1BD">
        <w:trPr>
          <w:jc w:val="center"/>
        </w:trPr>
        <w:tc>
          <w:tcPr>
            <w:tcW w:w="2340" w:type="dxa"/>
          </w:tcPr>
          <w:p w14:paraId="6F814C30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69967BE2">
            <w:r>
              <w:t>影响维度 11</w:t>
            </w:r>
          </w:p>
        </w:tc>
        <w:tc>
          <w:tcPr>
            <w:tcW w:w="2340" w:type="dxa"/>
          </w:tcPr>
          <w:p w14:paraId="41D33118">
            <w:r>
              <w:t>第 11 项观察说明：覆盖就业、教育、隐私或治理。</w:t>
            </w:r>
          </w:p>
        </w:tc>
        <w:tc>
          <w:tcPr>
            <w:tcW w:w="2340" w:type="dxa"/>
          </w:tcPr>
          <w:p w14:paraId="75D0808E">
            <w:r>
              <w:t>人工复核、透明披露、周期评估</w:t>
            </w:r>
          </w:p>
        </w:tc>
      </w:tr>
      <w:tr w14:paraId="3EB3B891">
        <w:trPr>
          <w:jc w:val="center"/>
        </w:trPr>
        <w:tc>
          <w:tcPr>
            <w:tcW w:w="2340" w:type="dxa"/>
          </w:tcPr>
          <w:p w14:paraId="1A6EF5C8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556C9668">
            <w:r>
              <w:t>影响维度 12</w:t>
            </w:r>
          </w:p>
        </w:tc>
        <w:tc>
          <w:tcPr>
            <w:tcW w:w="2340" w:type="dxa"/>
          </w:tcPr>
          <w:p w14:paraId="262CCE4C">
            <w:r>
              <w:t>第 12 项观察说明：覆盖就业、教育、隐私或治理。</w:t>
            </w:r>
          </w:p>
        </w:tc>
        <w:tc>
          <w:tcPr>
            <w:tcW w:w="2340" w:type="dxa"/>
          </w:tcPr>
          <w:p w14:paraId="288CA530">
            <w:r>
              <w:t>人工复核、透明披露、周期评估</w:t>
            </w:r>
          </w:p>
        </w:tc>
      </w:tr>
      <w:tr w14:paraId="419719D4">
        <w:trPr>
          <w:jc w:val="center"/>
        </w:trPr>
        <w:tc>
          <w:tcPr>
            <w:tcW w:w="2340" w:type="dxa"/>
          </w:tcPr>
          <w:p w14:paraId="3EBC99AC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256950FC">
            <w:r>
              <w:t>影响维度 13</w:t>
            </w:r>
          </w:p>
        </w:tc>
        <w:tc>
          <w:tcPr>
            <w:tcW w:w="2340" w:type="dxa"/>
          </w:tcPr>
          <w:p w14:paraId="51D9819B">
            <w:r>
              <w:t>第 13 项观察说明：覆盖就业、教育、隐私或治理。</w:t>
            </w:r>
          </w:p>
        </w:tc>
        <w:tc>
          <w:tcPr>
            <w:tcW w:w="2340" w:type="dxa"/>
          </w:tcPr>
          <w:p w14:paraId="7158D4CE">
            <w:r>
              <w:t>人工复核、透明披露、周期评估</w:t>
            </w:r>
          </w:p>
        </w:tc>
      </w:tr>
      <w:tr w14:paraId="46715DC8">
        <w:trPr>
          <w:jc w:val="center"/>
        </w:trPr>
        <w:tc>
          <w:tcPr>
            <w:tcW w:w="2340" w:type="dxa"/>
          </w:tcPr>
          <w:p w14:paraId="71B5C768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44AEDD61">
            <w:r>
              <w:t>影响维度 14</w:t>
            </w:r>
          </w:p>
        </w:tc>
        <w:tc>
          <w:tcPr>
            <w:tcW w:w="2340" w:type="dxa"/>
          </w:tcPr>
          <w:p w14:paraId="13FC06C4">
            <w:r>
              <w:t>第 14 项观察说明：覆盖就业、教育、隐私或治理。</w:t>
            </w:r>
          </w:p>
        </w:tc>
        <w:tc>
          <w:tcPr>
            <w:tcW w:w="2340" w:type="dxa"/>
          </w:tcPr>
          <w:p w14:paraId="2927A060">
            <w:r>
              <w:t>人工复核、透明披露、周期评估</w:t>
            </w:r>
          </w:p>
        </w:tc>
      </w:tr>
      <w:tr w14:paraId="4FB3C412">
        <w:trPr>
          <w:jc w:val="center"/>
        </w:trPr>
        <w:tc>
          <w:tcPr>
            <w:tcW w:w="2340" w:type="dxa"/>
          </w:tcPr>
          <w:p w14:paraId="459C3C55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22DDFA78">
            <w:r>
              <w:t>影响维度 15</w:t>
            </w:r>
          </w:p>
        </w:tc>
        <w:tc>
          <w:tcPr>
            <w:tcW w:w="2340" w:type="dxa"/>
          </w:tcPr>
          <w:p w14:paraId="610B3404">
            <w:r>
              <w:t>第 15 项观察说明：覆盖就业、教育、隐私或治理。</w:t>
            </w:r>
          </w:p>
        </w:tc>
        <w:tc>
          <w:tcPr>
            <w:tcW w:w="2340" w:type="dxa"/>
          </w:tcPr>
          <w:p w14:paraId="356575C0">
            <w:r>
              <w:t>人工复核、透明披露、周期评估</w:t>
            </w:r>
          </w:p>
        </w:tc>
      </w:tr>
      <w:tr w14:paraId="35B71EDF">
        <w:trPr>
          <w:jc w:val="center"/>
        </w:trPr>
        <w:tc>
          <w:tcPr>
            <w:tcW w:w="2340" w:type="dxa"/>
          </w:tcPr>
          <w:p w14:paraId="133AD45F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28077E4E">
            <w:r>
              <w:t>影响维度 16</w:t>
            </w:r>
          </w:p>
        </w:tc>
        <w:tc>
          <w:tcPr>
            <w:tcW w:w="2340" w:type="dxa"/>
          </w:tcPr>
          <w:p w14:paraId="244CF7DD">
            <w:r>
              <w:t>第 16 项观察说明：覆盖就业、教育、隐私或治理。</w:t>
            </w:r>
          </w:p>
        </w:tc>
        <w:tc>
          <w:tcPr>
            <w:tcW w:w="2340" w:type="dxa"/>
          </w:tcPr>
          <w:p w14:paraId="17E2B16F">
            <w:r>
              <w:t>人工复核、透明披露、周期评估</w:t>
            </w:r>
          </w:p>
        </w:tc>
      </w:tr>
      <w:tr w14:paraId="3A1166E1">
        <w:trPr>
          <w:jc w:val="center"/>
        </w:trPr>
        <w:tc>
          <w:tcPr>
            <w:tcW w:w="2340" w:type="dxa"/>
          </w:tcPr>
          <w:p w14:paraId="6D6C6DE7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5D5068D0">
            <w:r>
              <w:t>影响维度 17</w:t>
            </w:r>
          </w:p>
        </w:tc>
        <w:tc>
          <w:tcPr>
            <w:tcW w:w="2340" w:type="dxa"/>
          </w:tcPr>
          <w:p w14:paraId="5A364E09">
            <w:r>
              <w:t>第 17 项观察说明：覆盖就业、教育、隐私或治理。</w:t>
            </w:r>
          </w:p>
        </w:tc>
        <w:tc>
          <w:tcPr>
            <w:tcW w:w="2340" w:type="dxa"/>
          </w:tcPr>
          <w:p w14:paraId="39A72E51">
            <w:r>
              <w:t>人工复核、透明披露、周期评估</w:t>
            </w:r>
          </w:p>
        </w:tc>
      </w:tr>
      <w:tr w14:paraId="2D726A9D">
        <w:trPr>
          <w:jc w:val="center"/>
        </w:trPr>
        <w:tc>
          <w:tcPr>
            <w:tcW w:w="2340" w:type="dxa"/>
          </w:tcPr>
          <w:p w14:paraId="6B167B2F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690C6229">
            <w:r>
              <w:t>影响维度 18</w:t>
            </w:r>
          </w:p>
        </w:tc>
        <w:tc>
          <w:tcPr>
            <w:tcW w:w="2340" w:type="dxa"/>
          </w:tcPr>
          <w:p w14:paraId="42F2E9F6">
            <w:r>
              <w:t>第 18 项观察说明：覆盖就业、教育、隐私或治理。</w:t>
            </w:r>
          </w:p>
        </w:tc>
        <w:tc>
          <w:tcPr>
            <w:tcW w:w="2340" w:type="dxa"/>
          </w:tcPr>
          <w:p w14:paraId="431A5A59">
            <w:r>
              <w:t>人工复核、透明披露、周期评估</w:t>
            </w:r>
          </w:p>
        </w:tc>
      </w:tr>
      <w:tr w14:paraId="5F1FD453">
        <w:trPr>
          <w:jc w:val="center"/>
        </w:trPr>
        <w:tc>
          <w:tcPr>
            <w:tcW w:w="2340" w:type="dxa"/>
          </w:tcPr>
          <w:p w14:paraId="4B1DAD81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3A12CBC">
            <w:r>
              <w:t>影响维度 19</w:t>
            </w:r>
          </w:p>
        </w:tc>
        <w:tc>
          <w:tcPr>
            <w:tcW w:w="2340" w:type="dxa"/>
          </w:tcPr>
          <w:p w14:paraId="54D2725C">
            <w:r>
              <w:t>第 19 项观察说明：覆盖就业、教育、隐私或治理。</w:t>
            </w:r>
          </w:p>
        </w:tc>
        <w:tc>
          <w:tcPr>
            <w:tcW w:w="2340" w:type="dxa"/>
          </w:tcPr>
          <w:p w14:paraId="3BF8E5CD">
            <w:r>
              <w:t>人工复核、透明披露、周期评估</w:t>
            </w:r>
          </w:p>
        </w:tc>
      </w:tr>
      <w:tr w14:paraId="3E3A14D2">
        <w:trPr>
          <w:jc w:val="center"/>
        </w:trPr>
        <w:tc>
          <w:tcPr>
            <w:tcW w:w="2340" w:type="dxa"/>
          </w:tcPr>
          <w:p w14:paraId="050E8DE6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4E04B578">
            <w:r>
              <w:t>影响维度 20</w:t>
            </w:r>
          </w:p>
        </w:tc>
        <w:tc>
          <w:tcPr>
            <w:tcW w:w="2340" w:type="dxa"/>
          </w:tcPr>
          <w:p w14:paraId="426CDB4C">
            <w:r>
              <w:t>第 20 项观察说明：覆盖就业、教育、隐私或治理。</w:t>
            </w:r>
          </w:p>
        </w:tc>
        <w:tc>
          <w:tcPr>
            <w:tcW w:w="2340" w:type="dxa"/>
          </w:tcPr>
          <w:p w14:paraId="736AB9C9">
            <w:r>
              <w:t>人工复核、透明披露、周期评估</w:t>
            </w:r>
          </w:p>
        </w:tc>
      </w:tr>
      <w:tr w14:paraId="6BDB23E0">
        <w:trPr>
          <w:jc w:val="center"/>
        </w:trPr>
        <w:tc>
          <w:tcPr>
            <w:tcW w:w="2340" w:type="dxa"/>
          </w:tcPr>
          <w:p w14:paraId="09CF1637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B86D991">
            <w:r>
              <w:t>影响维度 21</w:t>
            </w:r>
          </w:p>
        </w:tc>
        <w:tc>
          <w:tcPr>
            <w:tcW w:w="2340" w:type="dxa"/>
          </w:tcPr>
          <w:p w14:paraId="3866874D">
            <w:r>
              <w:t>第 21 项观察说明：覆盖就业、教育、隐私或治理。</w:t>
            </w:r>
          </w:p>
        </w:tc>
        <w:tc>
          <w:tcPr>
            <w:tcW w:w="2340" w:type="dxa"/>
          </w:tcPr>
          <w:p w14:paraId="4D54A8CE">
            <w:r>
              <w:t>人工复核、透明披露、周期评估</w:t>
            </w:r>
          </w:p>
        </w:tc>
      </w:tr>
      <w:tr w14:paraId="44835D51">
        <w:trPr>
          <w:jc w:val="center"/>
        </w:trPr>
        <w:tc>
          <w:tcPr>
            <w:tcW w:w="2340" w:type="dxa"/>
          </w:tcPr>
          <w:p w14:paraId="37A262C2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591CC27F">
            <w:r>
              <w:t>影响维度 22</w:t>
            </w:r>
          </w:p>
        </w:tc>
        <w:tc>
          <w:tcPr>
            <w:tcW w:w="2340" w:type="dxa"/>
          </w:tcPr>
          <w:p w14:paraId="18EDEF33">
            <w:r>
              <w:t>第 22 项观察说明：覆盖就业、教育、隐私或治理。</w:t>
            </w:r>
          </w:p>
        </w:tc>
        <w:tc>
          <w:tcPr>
            <w:tcW w:w="2340" w:type="dxa"/>
          </w:tcPr>
          <w:p w14:paraId="3C9CB591">
            <w:r>
              <w:t>人工复核、透明披露、周期评估</w:t>
            </w:r>
          </w:p>
        </w:tc>
      </w:tr>
      <w:tr w14:paraId="26C4A63B">
        <w:trPr>
          <w:jc w:val="center"/>
        </w:trPr>
        <w:tc>
          <w:tcPr>
            <w:tcW w:w="2340" w:type="dxa"/>
          </w:tcPr>
          <w:p w14:paraId="5A6533CE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37A6AA0">
            <w:r>
              <w:t>影响维度 23</w:t>
            </w:r>
          </w:p>
        </w:tc>
        <w:tc>
          <w:tcPr>
            <w:tcW w:w="2340" w:type="dxa"/>
          </w:tcPr>
          <w:p w14:paraId="33BD1487">
            <w:r>
              <w:t>第 23 项观察说明：覆盖就业、教育、隐私或治理。</w:t>
            </w:r>
          </w:p>
        </w:tc>
        <w:tc>
          <w:tcPr>
            <w:tcW w:w="2340" w:type="dxa"/>
          </w:tcPr>
          <w:p w14:paraId="32B0BA8B">
            <w:r>
              <w:t>人工复核、透明披露、周期评估</w:t>
            </w:r>
          </w:p>
        </w:tc>
      </w:tr>
      <w:tr w14:paraId="71F2D027">
        <w:trPr>
          <w:jc w:val="center"/>
        </w:trPr>
        <w:tc>
          <w:tcPr>
            <w:tcW w:w="2340" w:type="dxa"/>
          </w:tcPr>
          <w:p w14:paraId="4806CCAC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AE330F9">
            <w:r>
              <w:t>影响维度 24</w:t>
            </w:r>
          </w:p>
        </w:tc>
        <w:tc>
          <w:tcPr>
            <w:tcW w:w="2340" w:type="dxa"/>
          </w:tcPr>
          <w:p w14:paraId="78C578C3">
            <w:r>
              <w:t>第 24 项观察说明：覆盖就业、教育、隐私或治理。</w:t>
            </w:r>
          </w:p>
        </w:tc>
        <w:tc>
          <w:tcPr>
            <w:tcW w:w="2340" w:type="dxa"/>
          </w:tcPr>
          <w:p w14:paraId="4E7B7FD0">
            <w:r>
              <w:t>人工复核、透明披露、周期评估</w:t>
            </w:r>
          </w:p>
        </w:tc>
      </w:tr>
      <w:tr w14:paraId="066C46E4">
        <w:trPr>
          <w:jc w:val="center"/>
        </w:trPr>
        <w:tc>
          <w:tcPr>
            <w:tcW w:w="2340" w:type="dxa"/>
          </w:tcPr>
          <w:p w14:paraId="5C26E18D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379D8346">
            <w:r>
              <w:t>影响维度 25</w:t>
            </w:r>
          </w:p>
        </w:tc>
        <w:tc>
          <w:tcPr>
            <w:tcW w:w="2340" w:type="dxa"/>
          </w:tcPr>
          <w:p w14:paraId="638D3F3C">
            <w:r>
              <w:t>第 25 项观察说明：覆盖就业、教育、隐私或治理。</w:t>
            </w:r>
          </w:p>
        </w:tc>
        <w:tc>
          <w:tcPr>
            <w:tcW w:w="2340" w:type="dxa"/>
          </w:tcPr>
          <w:p w14:paraId="74236478">
            <w:r>
              <w:t>人工复核、透明披露、周期评估</w:t>
            </w:r>
          </w:p>
        </w:tc>
      </w:tr>
      <w:tr w14:paraId="2B4DFB91">
        <w:trPr>
          <w:jc w:val="center"/>
        </w:trPr>
        <w:tc>
          <w:tcPr>
            <w:tcW w:w="2340" w:type="dxa"/>
          </w:tcPr>
          <w:p w14:paraId="76135F6E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189C567">
            <w:r>
              <w:t>影响维度 26</w:t>
            </w:r>
          </w:p>
        </w:tc>
        <w:tc>
          <w:tcPr>
            <w:tcW w:w="2340" w:type="dxa"/>
          </w:tcPr>
          <w:p w14:paraId="383CEF73">
            <w:r>
              <w:t>第 26 项观察说明：覆盖就业、教育、隐私或治理。</w:t>
            </w:r>
          </w:p>
        </w:tc>
        <w:tc>
          <w:tcPr>
            <w:tcW w:w="2340" w:type="dxa"/>
          </w:tcPr>
          <w:p w14:paraId="4458C075">
            <w:r>
              <w:t>人工复核、透明披露、周期评估</w:t>
            </w:r>
          </w:p>
        </w:tc>
      </w:tr>
      <w:tr w14:paraId="66F4FE9F">
        <w:trPr>
          <w:jc w:val="center"/>
        </w:trPr>
        <w:tc>
          <w:tcPr>
            <w:tcW w:w="2340" w:type="dxa"/>
          </w:tcPr>
          <w:p w14:paraId="0F1CD082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692B0F85">
            <w:r>
              <w:t>影响维度 27</w:t>
            </w:r>
          </w:p>
        </w:tc>
        <w:tc>
          <w:tcPr>
            <w:tcW w:w="2340" w:type="dxa"/>
          </w:tcPr>
          <w:p w14:paraId="47EB9341">
            <w:r>
              <w:t>第 27 项观察说明：覆盖就业、教育、隐私或治理。</w:t>
            </w:r>
          </w:p>
        </w:tc>
        <w:tc>
          <w:tcPr>
            <w:tcW w:w="2340" w:type="dxa"/>
          </w:tcPr>
          <w:p w14:paraId="18BEEB2B">
            <w:r>
              <w:t>人工复核、透明披露、周期评估</w:t>
            </w:r>
          </w:p>
        </w:tc>
      </w:tr>
      <w:tr w14:paraId="5C1AB8B4">
        <w:trPr>
          <w:jc w:val="center"/>
        </w:trPr>
        <w:tc>
          <w:tcPr>
            <w:tcW w:w="2340" w:type="dxa"/>
          </w:tcPr>
          <w:p w14:paraId="2A8E100C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B970248">
            <w:r>
              <w:t>影响维度 28</w:t>
            </w:r>
          </w:p>
        </w:tc>
        <w:tc>
          <w:tcPr>
            <w:tcW w:w="2340" w:type="dxa"/>
          </w:tcPr>
          <w:p w14:paraId="3D1BEED3">
            <w:r>
              <w:t>第 28 项观察说明：覆盖就业、教育、隐私或治理。</w:t>
            </w:r>
          </w:p>
        </w:tc>
        <w:tc>
          <w:tcPr>
            <w:tcW w:w="2340" w:type="dxa"/>
          </w:tcPr>
          <w:p w14:paraId="45EABBC6">
            <w:r>
              <w:t>人工复核、透明披露、周期评估</w:t>
            </w:r>
          </w:p>
        </w:tc>
      </w:tr>
      <w:tr w14:paraId="59A57272">
        <w:trPr>
          <w:jc w:val="center"/>
        </w:trPr>
        <w:tc>
          <w:tcPr>
            <w:tcW w:w="2340" w:type="dxa"/>
          </w:tcPr>
          <w:p w14:paraId="33A87F9E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2700CDD5">
            <w:r>
              <w:t>影响维度 29</w:t>
            </w:r>
          </w:p>
        </w:tc>
        <w:tc>
          <w:tcPr>
            <w:tcW w:w="2340" w:type="dxa"/>
          </w:tcPr>
          <w:p w14:paraId="227F5BBD">
            <w:r>
              <w:t>第 29 项观察说明：覆盖就业、教育、隐私或治理。</w:t>
            </w:r>
          </w:p>
        </w:tc>
        <w:tc>
          <w:tcPr>
            <w:tcW w:w="2340" w:type="dxa"/>
          </w:tcPr>
          <w:p w14:paraId="0B1EC1FB">
            <w:r>
              <w:t>人工复核、透明披露、周期评估</w:t>
            </w:r>
          </w:p>
        </w:tc>
      </w:tr>
      <w:tr w14:paraId="5E966312">
        <w:trPr>
          <w:jc w:val="center"/>
        </w:trPr>
        <w:tc>
          <w:tcPr>
            <w:tcW w:w="2340" w:type="dxa"/>
          </w:tcPr>
          <w:p w14:paraId="710A70EF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3E04D564">
            <w:r>
              <w:t>影响维度 30</w:t>
            </w:r>
          </w:p>
        </w:tc>
        <w:tc>
          <w:tcPr>
            <w:tcW w:w="2340" w:type="dxa"/>
          </w:tcPr>
          <w:p w14:paraId="7ACA112B">
            <w:r>
              <w:t>第 30 项观察说明：覆盖就业、教育、隐私或治理。</w:t>
            </w:r>
          </w:p>
        </w:tc>
        <w:tc>
          <w:tcPr>
            <w:tcW w:w="2340" w:type="dxa"/>
          </w:tcPr>
          <w:p w14:paraId="2715FBAF">
            <w:r>
              <w:t>人工复核、透明披露、周期评估</w:t>
            </w:r>
          </w:p>
        </w:tc>
      </w:tr>
      <w:tr w14:paraId="778AEEE2">
        <w:trPr>
          <w:jc w:val="center"/>
        </w:trPr>
        <w:tc>
          <w:tcPr>
            <w:tcW w:w="2340" w:type="dxa"/>
          </w:tcPr>
          <w:p w14:paraId="3A3B1D91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926A9D6">
            <w:r>
              <w:t>影响维度 31</w:t>
            </w:r>
          </w:p>
        </w:tc>
        <w:tc>
          <w:tcPr>
            <w:tcW w:w="2340" w:type="dxa"/>
          </w:tcPr>
          <w:p w14:paraId="16E8747E">
            <w:r>
              <w:t>第 31 项观察说明：覆盖就业、教育、隐私或治理。</w:t>
            </w:r>
          </w:p>
        </w:tc>
        <w:tc>
          <w:tcPr>
            <w:tcW w:w="2340" w:type="dxa"/>
          </w:tcPr>
          <w:p w14:paraId="0CA6A775">
            <w:r>
              <w:t>人工复核、透明披露、周期评估</w:t>
            </w:r>
          </w:p>
        </w:tc>
      </w:tr>
      <w:tr w14:paraId="486A69FB">
        <w:trPr>
          <w:jc w:val="center"/>
        </w:trPr>
        <w:tc>
          <w:tcPr>
            <w:tcW w:w="2340" w:type="dxa"/>
          </w:tcPr>
          <w:p w14:paraId="1073F26B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5A8CCA66">
            <w:r>
              <w:t>影响维度 32</w:t>
            </w:r>
          </w:p>
        </w:tc>
        <w:tc>
          <w:tcPr>
            <w:tcW w:w="2340" w:type="dxa"/>
          </w:tcPr>
          <w:p w14:paraId="6572531E">
            <w:r>
              <w:t>第 32 项观察说明：覆盖就业、教育、隐私或治理。</w:t>
            </w:r>
          </w:p>
        </w:tc>
        <w:tc>
          <w:tcPr>
            <w:tcW w:w="2340" w:type="dxa"/>
          </w:tcPr>
          <w:p w14:paraId="19379B24">
            <w:r>
              <w:t>人工复核、透明披露、周期评估</w:t>
            </w:r>
          </w:p>
        </w:tc>
      </w:tr>
      <w:tr w14:paraId="357CE001">
        <w:trPr>
          <w:jc w:val="center"/>
        </w:trPr>
        <w:tc>
          <w:tcPr>
            <w:tcW w:w="2340" w:type="dxa"/>
          </w:tcPr>
          <w:p w14:paraId="1901346B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6929398A">
            <w:r>
              <w:t>影响维度 33</w:t>
            </w:r>
          </w:p>
        </w:tc>
        <w:tc>
          <w:tcPr>
            <w:tcW w:w="2340" w:type="dxa"/>
          </w:tcPr>
          <w:p w14:paraId="44BFF3AB">
            <w:r>
              <w:t>第 33 项观察说明：覆盖就业、教育、隐私或治理。</w:t>
            </w:r>
          </w:p>
        </w:tc>
        <w:tc>
          <w:tcPr>
            <w:tcW w:w="2340" w:type="dxa"/>
          </w:tcPr>
          <w:p w14:paraId="283A0963">
            <w:r>
              <w:t>人工复核、透明披露、周期评估</w:t>
            </w:r>
          </w:p>
        </w:tc>
      </w:tr>
      <w:tr w14:paraId="3D63CACB">
        <w:trPr>
          <w:jc w:val="center"/>
        </w:trPr>
        <w:tc>
          <w:tcPr>
            <w:tcW w:w="2340" w:type="dxa"/>
          </w:tcPr>
          <w:p w14:paraId="5857A5F1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40B65DDC">
            <w:r>
              <w:t>影响维度 34</w:t>
            </w:r>
          </w:p>
        </w:tc>
        <w:tc>
          <w:tcPr>
            <w:tcW w:w="2340" w:type="dxa"/>
          </w:tcPr>
          <w:p w14:paraId="59D2B378">
            <w:r>
              <w:t>第 34 项观察说明：覆盖就业、教育、隐私或治理。</w:t>
            </w:r>
          </w:p>
        </w:tc>
        <w:tc>
          <w:tcPr>
            <w:tcW w:w="2340" w:type="dxa"/>
          </w:tcPr>
          <w:p w14:paraId="03B8EA14">
            <w:r>
              <w:t>人工复核、透明披露、周期评估</w:t>
            </w:r>
          </w:p>
        </w:tc>
      </w:tr>
      <w:tr w14:paraId="3731F470">
        <w:trPr>
          <w:jc w:val="center"/>
        </w:trPr>
        <w:tc>
          <w:tcPr>
            <w:tcW w:w="2340" w:type="dxa"/>
          </w:tcPr>
          <w:p w14:paraId="33B22B83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46037007">
            <w:r>
              <w:t>影响维度 35</w:t>
            </w:r>
          </w:p>
        </w:tc>
        <w:tc>
          <w:tcPr>
            <w:tcW w:w="2340" w:type="dxa"/>
          </w:tcPr>
          <w:p w14:paraId="05015735">
            <w:r>
              <w:t>第 35 项观察说明：覆盖就业、教育、隐私或治理。</w:t>
            </w:r>
          </w:p>
        </w:tc>
        <w:tc>
          <w:tcPr>
            <w:tcW w:w="2340" w:type="dxa"/>
          </w:tcPr>
          <w:p w14:paraId="7630590C">
            <w:r>
              <w:t>人工复核、透明披露、周期评估</w:t>
            </w:r>
          </w:p>
        </w:tc>
      </w:tr>
      <w:tr w14:paraId="2482C3B7">
        <w:trPr>
          <w:jc w:val="center"/>
        </w:trPr>
        <w:tc>
          <w:tcPr>
            <w:tcW w:w="2340" w:type="dxa"/>
          </w:tcPr>
          <w:p w14:paraId="445B31CF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0651918F">
            <w:r>
              <w:t>影响维度 36</w:t>
            </w:r>
          </w:p>
        </w:tc>
        <w:tc>
          <w:tcPr>
            <w:tcW w:w="2340" w:type="dxa"/>
          </w:tcPr>
          <w:p w14:paraId="1EE0245B">
            <w:r>
              <w:t>第 36 项观察说明：覆盖就业、教育、隐私或治理。</w:t>
            </w:r>
          </w:p>
        </w:tc>
        <w:tc>
          <w:tcPr>
            <w:tcW w:w="2340" w:type="dxa"/>
          </w:tcPr>
          <w:p w14:paraId="4949DF65">
            <w:r>
              <w:t>人工复核、透明披露、周期评估</w:t>
            </w:r>
          </w:p>
        </w:tc>
      </w:tr>
      <w:tr w14:paraId="129C5FBE">
        <w:trPr>
          <w:jc w:val="center"/>
        </w:trPr>
        <w:tc>
          <w:tcPr>
            <w:tcW w:w="2340" w:type="dxa"/>
          </w:tcPr>
          <w:p w14:paraId="1626835F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09EE3BB2">
            <w:r>
              <w:t>影响维度 37</w:t>
            </w:r>
          </w:p>
        </w:tc>
        <w:tc>
          <w:tcPr>
            <w:tcW w:w="2340" w:type="dxa"/>
          </w:tcPr>
          <w:p w14:paraId="70B86556">
            <w:r>
              <w:t>第 37 项观察说明：覆盖就业、教育、隐私或治理。</w:t>
            </w:r>
          </w:p>
        </w:tc>
        <w:tc>
          <w:tcPr>
            <w:tcW w:w="2340" w:type="dxa"/>
          </w:tcPr>
          <w:p w14:paraId="7B7C8B52">
            <w:r>
              <w:t>人工复核、透明披露、周期评估</w:t>
            </w:r>
          </w:p>
        </w:tc>
      </w:tr>
      <w:tr w14:paraId="5E85AB7C">
        <w:trPr>
          <w:jc w:val="center"/>
        </w:trPr>
        <w:tc>
          <w:tcPr>
            <w:tcW w:w="2340" w:type="dxa"/>
          </w:tcPr>
          <w:p w14:paraId="00F87996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5962569C">
            <w:r>
              <w:t>影响维度 38</w:t>
            </w:r>
          </w:p>
        </w:tc>
        <w:tc>
          <w:tcPr>
            <w:tcW w:w="2340" w:type="dxa"/>
          </w:tcPr>
          <w:p w14:paraId="79441841">
            <w:r>
              <w:t>第 38 项观察说明：覆盖就业、教育、隐私或治理。</w:t>
            </w:r>
          </w:p>
        </w:tc>
        <w:tc>
          <w:tcPr>
            <w:tcW w:w="2340" w:type="dxa"/>
          </w:tcPr>
          <w:p w14:paraId="1F6058B9">
            <w:r>
              <w:t>人工复核、透明披露、周期评估</w:t>
            </w:r>
          </w:p>
        </w:tc>
      </w:tr>
      <w:tr w14:paraId="74A30726">
        <w:trPr>
          <w:jc w:val="center"/>
        </w:trPr>
        <w:tc>
          <w:tcPr>
            <w:tcW w:w="2340" w:type="dxa"/>
          </w:tcPr>
          <w:p w14:paraId="56F98794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797B9BBD">
            <w:r>
              <w:t>影响维度 39</w:t>
            </w:r>
          </w:p>
        </w:tc>
        <w:tc>
          <w:tcPr>
            <w:tcW w:w="2340" w:type="dxa"/>
          </w:tcPr>
          <w:p w14:paraId="52C099DE">
            <w:r>
              <w:t>第 39 项观察说明：覆盖就业、教育、隐私或治理。</w:t>
            </w:r>
          </w:p>
        </w:tc>
        <w:tc>
          <w:tcPr>
            <w:tcW w:w="2340" w:type="dxa"/>
          </w:tcPr>
          <w:p w14:paraId="0B3A618F">
            <w:r>
              <w:t>人工复核、透明披露、周期评估</w:t>
            </w:r>
          </w:p>
        </w:tc>
      </w:tr>
      <w:tr w14:paraId="2155C8AF">
        <w:trPr>
          <w:jc w:val="center"/>
        </w:trPr>
        <w:tc>
          <w:tcPr>
            <w:tcW w:w="2340" w:type="dxa"/>
          </w:tcPr>
          <w:p w14:paraId="5A0601F2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4298099">
            <w:r>
              <w:t>影响维度 40</w:t>
            </w:r>
          </w:p>
        </w:tc>
        <w:tc>
          <w:tcPr>
            <w:tcW w:w="2340" w:type="dxa"/>
          </w:tcPr>
          <w:p w14:paraId="2A318925">
            <w:r>
              <w:t>第 40 项观察说明：覆盖就业、教育、隐私或治理。</w:t>
            </w:r>
          </w:p>
        </w:tc>
        <w:tc>
          <w:tcPr>
            <w:tcW w:w="2340" w:type="dxa"/>
          </w:tcPr>
          <w:p w14:paraId="4FDA4804">
            <w:r>
              <w:t>人工复核、透明披露、周期评估</w:t>
            </w:r>
          </w:p>
        </w:tc>
      </w:tr>
      <w:tr w14:paraId="7A2CFF24">
        <w:trPr>
          <w:jc w:val="center"/>
        </w:trPr>
        <w:tc>
          <w:tcPr>
            <w:tcW w:w="2340" w:type="dxa"/>
          </w:tcPr>
          <w:p w14:paraId="1AECA812">
            <w:pPr>
              <w:pStyle w:val="13"/>
              <w:numPr>
                <w:ilvl w:val="0"/>
                <w:numId w:val="7"/>
              </w:numPr>
              <w:bidi w:val="0"/>
              <w:ind w:left="720" w:leftChars="0" w:hanging="360" w:firstLineChars="0"/>
            </w:pPr>
          </w:p>
        </w:tc>
        <w:tc>
          <w:tcPr>
            <w:tcW w:w="2340" w:type="dxa"/>
          </w:tcPr>
          <w:p w14:paraId="18BE8E35">
            <w:r>
              <w:t>影响维度 41</w:t>
            </w:r>
          </w:p>
        </w:tc>
        <w:tc>
          <w:tcPr>
            <w:tcW w:w="2340" w:type="dxa"/>
          </w:tcPr>
          <w:p w14:paraId="5E79DC62">
            <w:r>
              <w:t>第 41 项观察说明：覆盖就业、教育、隐私或治理。</w:t>
            </w:r>
          </w:p>
        </w:tc>
        <w:tc>
          <w:tcPr>
            <w:tcW w:w="2340" w:type="dxa"/>
          </w:tcPr>
          <w:p w14:paraId="569B879F">
            <w:r>
              <w:t>人工复核、透明披露、周期评估</w:t>
            </w:r>
          </w:p>
        </w:tc>
      </w:tr>
    </w:tbl>
    <w:p w14:paraId="0011E2B9">
      <w:pPr>
        <w:sectPr>
          <w:headerReference r:id="rId7" w:type="default"/>
          <w:footerReference r:id="rId8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bookmarkStart w:id="12" w:name="_Toc1686468194"/>
      <w:r>
        <w:br w:type="page"/>
      </w:r>
    </w:p>
    <w:p w14:paraId="737460E5"/>
    <w:p w14:paraId="4FF2B1EF">
      <w:pPr>
        <w:pStyle w:val="4"/>
      </w:pPr>
      <w:r>
        <w:t>2.5 双列表格：同一行并列两份</w:t>
      </w:r>
      <w:bookmarkEnd w:id="12"/>
    </w:p>
    <w:tbl>
      <w:tblPr>
        <w:tblStyle w:val="38"/>
        <w:tblW w:w="4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1959"/>
        <w:gridCol w:w="1170"/>
      </w:tblGrid>
      <w:tr w14:paraId="0A325556">
        <w:trPr>
          <w:tblHeader/>
        </w:trPr>
        <w:tc>
          <w:tcPr>
            <w:tcW w:w="932" w:type="dxa"/>
            <w:shd w:val="clear" w:color="auto" w:fill="E8EEF5"/>
            <w:vAlign w:val="center"/>
          </w:tcPr>
          <w:p w14:paraId="0868676F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#</w:t>
            </w:r>
          </w:p>
        </w:tc>
        <w:tc>
          <w:tcPr>
            <w:tcW w:w="1959" w:type="dxa"/>
            <w:shd w:val="clear" w:color="auto" w:fill="E8EEF5"/>
            <w:vAlign w:val="center"/>
          </w:tcPr>
          <w:p w14:paraId="70AB703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Left policy lens</w:t>
            </w:r>
          </w:p>
        </w:tc>
        <w:tc>
          <w:tcPr>
            <w:tcW w:w="1170" w:type="dxa"/>
            <w:shd w:val="clear" w:color="auto" w:fill="E8EEF5"/>
            <w:vAlign w:val="center"/>
          </w:tcPr>
          <w:p w14:paraId="3980F13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Signal</w:t>
            </w:r>
          </w:p>
        </w:tc>
      </w:tr>
      <w:tr w14:paraId="124D68B2">
        <w:tc>
          <w:tcPr>
            <w:tcW w:w="932" w:type="dxa"/>
            <w:shd w:val="clear" w:color="auto" w:fill="auto"/>
            <w:vAlign w:val="top"/>
          </w:tcPr>
          <w:p w14:paraId="34EF5D49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65C29A7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E5B10E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18E693D3">
        <w:tc>
          <w:tcPr>
            <w:tcW w:w="932" w:type="dxa"/>
            <w:shd w:val="clear" w:color="auto" w:fill="auto"/>
            <w:vAlign w:val="top"/>
          </w:tcPr>
          <w:p w14:paraId="315894FC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7E0885AF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E490EA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61D0A7CD">
        <w:tc>
          <w:tcPr>
            <w:tcW w:w="932" w:type="dxa"/>
            <w:shd w:val="clear" w:color="auto" w:fill="auto"/>
            <w:vAlign w:val="top"/>
          </w:tcPr>
          <w:p w14:paraId="6FED81A0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3FB4CF0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552D183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175418A4">
        <w:tc>
          <w:tcPr>
            <w:tcW w:w="932" w:type="dxa"/>
            <w:shd w:val="clear" w:color="auto" w:fill="auto"/>
            <w:vAlign w:val="top"/>
          </w:tcPr>
          <w:p w14:paraId="0A9D13DC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3D6E845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93C55F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34BB4B8A">
        <w:tc>
          <w:tcPr>
            <w:tcW w:w="932" w:type="dxa"/>
            <w:shd w:val="clear" w:color="auto" w:fill="auto"/>
            <w:vAlign w:val="top"/>
          </w:tcPr>
          <w:p w14:paraId="75819FF3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4DAF14E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68AE7E8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543D0E8E">
        <w:tc>
          <w:tcPr>
            <w:tcW w:w="932" w:type="dxa"/>
            <w:shd w:val="clear" w:color="auto" w:fill="auto"/>
            <w:vAlign w:val="top"/>
          </w:tcPr>
          <w:p w14:paraId="0F2A3FFD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750B24F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2AE85C6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26C440B6">
        <w:tc>
          <w:tcPr>
            <w:tcW w:w="932" w:type="dxa"/>
            <w:shd w:val="clear" w:color="auto" w:fill="auto"/>
            <w:vAlign w:val="top"/>
          </w:tcPr>
          <w:p w14:paraId="3935E24C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09C0684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6C5212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73AED486">
        <w:tc>
          <w:tcPr>
            <w:tcW w:w="932" w:type="dxa"/>
            <w:shd w:val="clear" w:color="auto" w:fill="auto"/>
            <w:vAlign w:val="top"/>
          </w:tcPr>
          <w:p w14:paraId="07D85901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6A67743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1B241A0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603B1C54">
        <w:tc>
          <w:tcPr>
            <w:tcW w:w="932" w:type="dxa"/>
            <w:shd w:val="clear" w:color="auto" w:fill="auto"/>
            <w:vAlign w:val="top"/>
          </w:tcPr>
          <w:p w14:paraId="4EABEDEE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2233CA8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3EF9DBA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68513404">
        <w:tc>
          <w:tcPr>
            <w:tcW w:w="932" w:type="dxa"/>
            <w:shd w:val="clear" w:color="auto" w:fill="auto"/>
            <w:vAlign w:val="top"/>
          </w:tcPr>
          <w:p w14:paraId="25AD7A01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5CF6D20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6514119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5CE418FA">
        <w:tc>
          <w:tcPr>
            <w:tcW w:w="932" w:type="dxa"/>
            <w:shd w:val="clear" w:color="auto" w:fill="auto"/>
            <w:vAlign w:val="top"/>
          </w:tcPr>
          <w:p w14:paraId="2B992A9B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1959" w:type="dxa"/>
            <w:shd w:val="clear" w:color="auto" w:fill="auto"/>
            <w:vAlign w:val="top"/>
          </w:tcPr>
          <w:p w14:paraId="3E28170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1170" w:type="dxa"/>
            <w:shd w:val="clear" w:color="auto" w:fill="auto"/>
            <w:vAlign w:val="top"/>
          </w:tcPr>
          <w:p w14:paraId="4342509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5ADB7C6F">
        <w:tc>
          <w:tcPr>
            <w:tcW w:w="0" w:type="auto"/>
            <w:shd w:val="clear" w:color="auto" w:fill="auto"/>
            <w:vAlign w:val="top"/>
          </w:tcPr>
          <w:p w14:paraId="4BBD8E1B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1B1EB2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6F849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3010F200">
        <w:tc>
          <w:tcPr>
            <w:tcW w:w="0" w:type="auto"/>
            <w:shd w:val="clear" w:color="auto" w:fill="auto"/>
            <w:vAlign w:val="top"/>
          </w:tcPr>
          <w:p w14:paraId="1CFF8661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56316A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C6A14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796EEECD">
        <w:tc>
          <w:tcPr>
            <w:tcW w:w="0" w:type="auto"/>
            <w:shd w:val="clear" w:color="auto" w:fill="auto"/>
            <w:vAlign w:val="top"/>
          </w:tcPr>
          <w:p w14:paraId="1CD82B48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1E1DFD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874A7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05223BDD">
        <w:tc>
          <w:tcPr>
            <w:tcW w:w="0" w:type="auto"/>
            <w:shd w:val="clear" w:color="auto" w:fill="auto"/>
            <w:vAlign w:val="top"/>
          </w:tcPr>
          <w:p w14:paraId="433421AF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C3B30A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407E5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175AC88C">
        <w:tc>
          <w:tcPr>
            <w:tcW w:w="0" w:type="auto"/>
            <w:shd w:val="clear" w:color="auto" w:fill="auto"/>
            <w:vAlign w:val="top"/>
          </w:tcPr>
          <w:p w14:paraId="5ED7E3D6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E7634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D7782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39A4EBAD">
        <w:tc>
          <w:tcPr>
            <w:tcW w:w="0" w:type="auto"/>
            <w:shd w:val="clear" w:color="auto" w:fill="auto"/>
            <w:vAlign w:val="top"/>
          </w:tcPr>
          <w:p w14:paraId="5FE21AFD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9E2049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8A5C75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45B0057E">
        <w:tc>
          <w:tcPr>
            <w:tcW w:w="0" w:type="auto"/>
            <w:shd w:val="clear" w:color="auto" w:fill="auto"/>
            <w:vAlign w:val="top"/>
          </w:tcPr>
          <w:p w14:paraId="6B2FDEF7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2EB246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C4054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391DA82E">
        <w:tc>
          <w:tcPr>
            <w:tcW w:w="0" w:type="auto"/>
            <w:shd w:val="clear" w:color="auto" w:fill="auto"/>
            <w:vAlign w:val="top"/>
          </w:tcPr>
          <w:p w14:paraId="027F870D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6F9833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F0E9A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10BAC14B">
        <w:tc>
          <w:tcPr>
            <w:tcW w:w="0" w:type="auto"/>
            <w:shd w:val="clear" w:color="auto" w:fill="auto"/>
            <w:vAlign w:val="top"/>
          </w:tcPr>
          <w:p w14:paraId="54860FAD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77DA21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DD5297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72369D9B">
        <w:tc>
          <w:tcPr>
            <w:tcW w:w="0" w:type="auto"/>
            <w:shd w:val="clear" w:color="auto" w:fill="auto"/>
            <w:vAlign w:val="top"/>
          </w:tcPr>
          <w:p w14:paraId="5DEC20BD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746EDE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78E02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0510FF9B">
        <w:tc>
          <w:tcPr>
            <w:tcW w:w="0" w:type="auto"/>
            <w:shd w:val="clear" w:color="auto" w:fill="auto"/>
            <w:vAlign w:val="top"/>
          </w:tcPr>
          <w:p w14:paraId="233EE4BA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FF1ABC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598008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0A82D6CF">
        <w:tc>
          <w:tcPr>
            <w:tcW w:w="0" w:type="auto"/>
            <w:shd w:val="clear" w:color="auto" w:fill="auto"/>
            <w:vAlign w:val="top"/>
          </w:tcPr>
          <w:p w14:paraId="7E3E1E0F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FFFC4A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09BA4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72C35A6F">
        <w:tc>
          <w:tcPr>
            <w:tcW w:w="0" w:type="auto"/>
            <w:shd w:val="clear" w:color="auto" w:fill="auto"/>
            <w:vAlign w:val="top"/>
          </w:tcPr>
          <w:p w14:paraId="2BF03589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9914DD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B3483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7540D8C8">
        <w:tc>
          <w:tcPr>
            <w:tcW w:w="0" w:type="auto"/>
            <w:shd w:val="clear" w:color="auto" w:fill="auto"/>
            <w:vAlign w:val="top"/>
          </w:tcPr>
          <w:p w14:paraId="5C25B3C6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A23C0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0C1CB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6E572ED1">
        <w:tc>
          <w:tcPr>
            <w:tcW w:w="0" w:type="auto"/>
            <w:shd w:val="clear" w:color="auto" w:fill="auto"/>
            <w:vAlign w:val="top"/>
          </w:tcPr>
          <w:p w14:paraId="0FD6DF13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808080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5D62E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064F5E9D">
        <w:tc>
          <w:tcPr>
            <w:tcW w:w="0" w:type="auto"/>
            <w:shd w:val="clear" w:color="auto" w:fill="auto"/>
            <w:vAlign w:val="top"/>
          </w:tcPr>
          <w:p w14:paraId="35400341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23841D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85AF0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0991338C">
        <w:tc>
          <w:tcPr>
            <w:tcW w:w="0" w:type="auto"/>
            <w:shd w:val="clear" w:color="auto" w:fill="auto"/>
            <w:vAlign w:val="top"/>
          </w:tcPr>
          <w:p w14:paraId="3C8739EF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F8D7A8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28245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74740489">
        <w:tc>
          <w:tcPr>
            <w:tcW w:w="0" w:type="auto"/>
            <w:shd w:val="clear" w:color="auto" w:fill="auto"/>
            <w:vAlign w:val="top"/>
          </w:tcPr>
          <w:p w14:paraId="3C519B18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47EF9DF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91BE8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5E165388">
        <w:tc>
          <w:tcPr>
            <w:tcW w:w="0" w:type="auto"/>
            <w:shd w:val="clear" w:color="auto" w:fill="auto"/>
            <w:vAlign w:val="top"/>
          </w:tcPr>
          <w:p w14:paraId="3EBC60C7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912236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F6272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28410DE1">
        <w:tc>
          <w:tcPr>
            <w:tcW w:w="0" w:type="auto"/>
            <w:shd w:val="clear" w:color="auto" w:fill="auto"/>
            <w:vAlign w:val="top"/>
          </w:tcPr>
          <w:p w14:paraId="7446D24E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EC0540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E3653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56AFCC1B">
        <w:tc>
          <w:tcPr>
            <w:tcW w:w="0" w:type="auto"/>
            <w:shd w:val="clear" w:color="auto" w:fill="auto"/>
            <w:vAlign w:val="top"/>
          </w:tcPr>
          <w:p w14:paraId="11DEEA2E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CEDD34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8F42D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26A6752B">
        <w:tc>
          <w:tcPr>
            <w:tcW w:w="0" w:type="auto"/>
            <w:shd w:val="clear" w:color="auto" w:fill="auto"/>
            <w:vAlign w:val="top"/>
          </w:tcPr>
          <w:p w14:paraId="78376424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4C02D5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66EBB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3BD15E12">
        <w:tc>
          <w:tcPr>
            <w:tcW w:w="0" w:type="auto"/>
          </w:tcPr>
          <w:p w14:paraId="7DAF2664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3109C7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A55022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  <w:tr w14:paraId="47529180">
        <w:tc>
          <w:tcPr>
            <w:tcW w:w="0" w:type="auto"/>
          </w:tcPr>
          <w:p w14:paraId="4E541015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3855F9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D4498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review</w:t>
            </w:r>
          </w:p>
        </w:tc>
      </w:tr>
      <w:tr w14:paraId="584C8D83">
        <w:tc>
          <w:tcPr>
            <w:tcW w:w="0" w:type="auto"/>
          </w:tcPr>
          <w:p w14:paraId="1D584EA9">
            <w:pPr>
              <w:pStyle w:val="13"/>
              <w:numPr>
                <w:ilvl w:val="0"/>
                <w:numId w:val="8"/>
              </w:numPr>
              <w:bidi w:val="0"/>
              <w:ind w:left="720" w:leftChars="0" w:hanging="360" w:firstLineChars="0"/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D8D3FC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Policy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854C6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monitor</w:t>
            </w:r>
          </w:p>
        </w:tc>
      </w:tr>
    </w:tbl>
    <w:p w14:paraId="39ABAE9E">
      <w:pPr>
        <w:sectPr>
          <w:pgSz w:w="12240" w:h="15840"/>
          <w:pgMar w:top="1440" w:right="1440" w:bottom="1440" w:left="1440" w:header="720" w:footer="720" w:gutter="0"/>
          <w:cols w:space="427" w:num="2"/>
          <w:docGrid w:linePitch="360" w:charSpace="0"/>
        </w:sectPr>
      </w:pPr>
    </w:p>
    <w:p w14:paraId="6915111C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89300FB"/>
    <w:p w14:paraId="4263B1B3">
      <w:pPr>
        <w:pStyle w:val="4"/>
      </w:pPr>
      <w:bookmarkStart w:id="13" w:name="_Toc1981763452"/>
      <w:r>
        <w:t>2.6 跨页双列表格</w:t>
      </w:r>
      <w:bookmarkEnd w:id="13"/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2055"/>
        <w:gridCol w:w="1560"/>
      </w:tblGrid>
      <w:tr w14:paraId="52BAA3E7">
        <w:trPr>
          <w:jc w:val="center"/>
        </w:trPr>
        <w:tc>
          <w:tcPr>
            <w:tcW w:w="10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9986">
            <w:r>
              <w:t>#</w:t>
            </w:r>
          </w:p>
        </w:tc>
        <w:tc>
          <w:tcPr>
            <w:tcW w:w="20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A9FA">
            <w:r>
              <w:t>Left policy lens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0DB7">
            <w:r>
              <w:t>Signal</w:t>
            </w:r>
          </w:p>
        </w:tc>
      </w:tr>
      <w:tr w14:paraId="65D5B678">
        <w:trPr>
          <w:jc w:val="center"/>
        </w:trPr>
        <w:tc>
          <w:tcPr>
            <w:tcW w:w="1065" w:type="dxa"/>
          </w:tcPr>
          <w:p w14:paraId="0E90A6F3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322A2462">
            <w:r>
              <w:t>Policy item 1</w:t>
            </w:r>
          </w:p>
        </w:tc>
        <w:tc>
          <w:tcPr>
            <w:tcW w:w="1560" w:type="dxa"/>
          </w:tcPr>
          <w:p w14:paraId="11C591B9">
            <w:r>
              <w:t>review</w:t>
            </w:r>
          </w:p>
        </w:tc>
      </w:tr>
      <w:tr w14:paraId="48715BED">
        <w:trPr>
          <w:jc w:val="center"/>
        </w:trPr>
        <w:tc>
          <w:tcPr>
            <w:tcW w:w="1065" w:type="dxa"/>
          </w:tcPr>
          <w:p w14:paraId="5A1725A1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61BFB90B">
            <w:r>
              <w:t>Policy item 2</w:t>
            </w:r>
          </w:p>
        </w:tc>
        <w:tc>
          <w:tcPr>
            <w:tcW w:w="1560" w:type="dxa"/>
          </w:tcPr>
          <w:p w14:paraId="47671D17">
            <w:r>
              <w:t>monitor</w:t>
            </w:r>
          </w:p>
        </w:tc>
      </w:tr>
      <w:tr w14:paraId="405C5B7D">
        <w:trPr>
          <w:jc w:val="center"/>
        </w:trPr>
        <w:tc>
          <w:tcPr>
            <w:tcW w:w="1065" w:type="dxa"/>
          </w:tcPr>
          <w:p w14:paraId="4BA085F5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75CE0E2B">
            <w:r>
              <w:t>Policy item 3</w:t>
            </w:r>
          </w:p>
        </w:tc>
        <w:tc>
          <w:tcPr>
            <w:tcW w:w="1560" w:type="dxa"/>
          </w:tcPr>
          <w:p w14:paraId="6E9751F1">
            <w:r>
              <w:t>review</w:t>
            </w:r>
          </w:p>
        </w:tc>
      </w:tr>
      <w:tr w14:paraId="402C073D">
        <w:trPr>
          <w:jc w:val="center"/>
        </w:trPr>
        <w:tc>
          <w:tcPr>
            <w:tcW w:w="1065" w:type="dxa"/>
          </w:tcPr>
          <w:p w14:paraId="543290A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0830A49A">
            <w:r>
              <w:t>Policy item 4</w:t>
            </w:r>
          </w:p>
        </w:tc>
        <w:tc>
          <w:tcPr>
            <w:tcW w:w="1560" w:type="dxa"/>
          </w:tcPr>
          <w:p w14:paraId="221830BB">
            <w:r>
              <w:t>monitor</w:t>
            </w:r>
          </w:p>
        </w:tc>
      </w:tr>
      <w:tr w14:paraId="752076D5">
        <w:trPr>
          <w:jc w:val="center"/>
        </w:trPr>
        <w:tc>
          <w:tcPr>
            <w:tcW w:w="1065" w:type="dxa"/>
          </w:tcPr>
          <w:p w14:paraId="6EDF8C48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31946DDF">
            <w:r>
              <w:t>Policy item 5</w:t>
            </w:r>
          </w:p>
        </w:tc>
        <w:tc>
          <w:tcPr>
            <w:tcW w:w="1560" w:type="dxa"/>
          </w:tcPr>
          <w:p w14:paraId="6D60B708">
            <w:r>
              <w:t>review</w:t>
            </w:r>
          </w:p>
        </w:tc>
      </w:tr>
      <w:tr w14:paraId="3A458A73">
        <w:trPr>
          <w:jc w:val="center"/>
        </w:trPr>
        <w:tc>
          <w:tcPr>
            <w:tcW w:w="1065" w:type="dxa"/>
          </w:tcPr>
          <w:p w14:paraId="289EAA69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4083F717">
            <w:r>
              <w:t>Policy item 6</w:t>
            </w:r>
          </w:p>
        </w:tc>
        <w:tc>
          <w:tcPr>
            <w:tcW w:w="1560" w:type="dxa"/>
          </w:tcPr>
          <w:p w14:paraId="4C46C90C">
            <w:r>
              <w:t>monitor</w:t>
            </w:r>
          </w:p>
        </w:tc>
      </w:tr>
      <w:tr w14:paraId="37C88B77">
        <w:trPr>
          <w:jc w:val="center"/>
        </w:trPr>
        <w:tc>
          <w:tcPr>
            <w:tcW w:w="1065" w:type="dxa"/>
          </w:tcPr>
          <w:p w14:paraId="2F2D36CF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62695A18">
            <w:r>
              <w:t>Policy item 7</w:t>
            </w:r>
          </w:p>
        </w:tc>
        <w:tc>
          <w:tcPr>
            <w:tcW w:w="1560" w:type="dxa"/>
          </w:tcPr>
          <w:p w14:paraId="23363F31">
            <w:r>
              <w:t>review</w:t>
            </w:r>
          </w:p>
        </w:tc>
      </w:tr>
      <w:tr w14:paraId="42E18A92">
        <w:trPr>
          <w:jc w:val="center"/>
        </w:trPr>
        <w:tc>
          <w:tcPr>
            <w:tcW w:w="1065" w:type="dxa"/>
          </w:tcPr>
          <w:p w14:paraId="759695F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2026010C">
            <w:r>
              <w:t>Policy item 8</w:t>
            </w:r>
          </w:p>
        </w:tc>
        <w:tc>
          <w:tcPr>
            <w:tcW w:w="1560" w:type="dxa"/>
          </w:tcPr>
          <w:p w14:paraId="1D9522E5">
            <w:r>
              <w:t>monitor</w:t>
            </w:r>
          </w:p>
        </w:tc>
      </w:tr>
      <w:tr w14:paraId="77CA8D3C">
        <w:trPr>
          <w:jc w:val="center"/>
        </w:trPr>
        <w:tc>
          <w:tcPr>
            <w:tcW w:w="1065" w:type="dxa"/>
          </w:tcPr>
          <w:p w14:paraId="0C27D08E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5373A3F0">
            <w:r>
              <w:t>Policy item 9</w:t>
            </w:r>
          </w:p>
        </w:tc>
        <w:tc>
          <w:tcPr>
            <w:tcW w:w="1560" w:type="dxa"/>
          </w:tcPr>
          <w:p w14:paraId="37A59114">
            <w:r>
              <w:t>review</w:t>
            </w:r>
          </w:p>
        </w:tc>
      </w:tr>
      <w:tr w14:paraId="0D9B597A">
        <w:trPr>
          <w:jc w:val="center"/>
        </w:trPr>
        <w:tc>
          <w:tcPr>
            <w:tcW w:w="1065" w:type="dxa"/>
          </w:tcPr>
          <w:p w14:paraId="1B68728B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686075C7">
            <w:r>
              <w:t>Policy item 10</w:t>
            </w:r>
          </w:p>
        </w:tc>
        <w:tc>
          <w:tcPr>
            <w:tcW w:w="1560" w:type="dxa"/>
          </w:tcPr>
          <w:p w14:paraId="6C4C7A65">
            <w:r>
              <w:t>monitor</w:t>
            </w:r>
          </w:p>
        </w:tc>
      </w:tr>
      <w:tr w14:paraId="47FB52CC">
        <w:trPr>
          <w:jc w:val="center"/>
        </w:trPr>
        <w:tc>
          <w:tcPr>
            <w:tcW w:w="1065" w:type="dxa"/>
          </w:tcPr>
          <w:p w14:paraId="64B49526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04612347">
            <w:r>
              <w:t>Policy item 11</w:t>
            </w:r>
          </w:p>
        </w:tc>
        <w:tc>
          <w:tcPr>
            <w:tcW w:w="1560" w:type="dxa"/>
          </w:tcPr>
          <w:p w14:paraId="3EC27394">
            <w:r>
              <w:t>review</w:t>
            </w:r>
          </w:p>
        </w:tc>
      </w:tr>
      <w:tr w14:paraId="3B849164">
        <w:trPr>
          <w:jc w:val="center"/>
        </w:trPr>
        <w:tc>
          <w:tcPr>
            <w:tcW w:w="1065" w:type="dxa"/>
          </w:tcPr>
          <w:p w14:paraId="304DCE58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79EE376E">
            <w:r>
              <w:t>Policy item 12</w:t>
            </w:r>
          </w:p>
        </w:tc>
        <w:tc>
          <w:tcPr>
            <w:tcW w:w="1560" w:type="dxa"/>
          </w:tcPr>
          <w:p w14:paraId="43A352D0">
            <w:r>
              <w:t>monitor</w:t>
            </w:r>
          </w:p>
        </w:tc>
      </w:tr>
      <w:tr w14:paraId="1C748E0B">
        <w:trPr>
          <w:jc w:val="center"/>
        </w:trPr>
        <w:tc>
          <w:tcPr>
            <w:tcW w:w="1065" w:type="dxa"/>
          </w:tcPr>
          <w:p w14:paraId="4398F39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7CA4FFF2">
            <w:r>
              <w:t>Policy item 13</w:t>
            </w:r>
          </w:p>
        </w:tc>
        <w:tc>
          <w:tcPr>
            <w:tcW w:w="1560" w:type="dxa"/>
          </w:tcPr>
          <w:p w14:paraId="46C48B53">
            <w:r>
              <w:t>review</w:t>
            </w:r>
          </w:p>
        </w:tc>
      </w:tr>
      <w:tr w14:paraId="73E03142">
        <w:trPr>
          <w:jc w:val="center"/>
        </w:trPr>
        <w:tc>
          <w:tcPr>
            <w:tcW w:w="1065" w:type="dxa"/>
          </w:tcPr>
          <w:p w14:paraId="64594929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386FFA02">
            <w:r>
              <w:t>Policy item 14</w:t>
            </w:r>
          </w:p>
        </w:tc>
        <w:tc>
          <w:tcPr>
            <w:tcW w:w="1560" w:type="dxa"/>
          </w:tcPr>
          <w:p w14:paraId="24AE8F00">
            <w:r>
              <w:t>monitor</w:t>
            </w:r>
          </w:p>
        </w:tc>
      </w:tr>
      <w:tr w14:paraId="005FD39D">
        <w:trPr>
          <w:jc w:val="center"/>
        </w:trPr>
        <w:tc>
          <w:tcPr>
            <w:tcW w:w="1065" w:type="dxa"/>
          </w:tcPr>
          <w:p w14:paraId="633E512E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3B266A0C">
            <w:r>
              <w:t>Policy item 15</w:t>
            </w:r>
          </w:p>
        </w:tc>
        <w:tc>
          <w:tcPr>
            <w:tcW w:w="1560" w:type="dxa"/>
          </w:tcPr>
          <w:p w14:paraId="3004AEDF">
            <w:r>
              <w:t>review</w:t>
            </w:r>
          </w:p>
        </w:tc>
      </w:tr>
      <w:tr w14:paraId="204CD0C6">
        <w:trPr>
          <w:jc w:val="center"/>
        </w:trPr>
        <w:tc>
          <w:tcPr>
            <w:tcW w:w="1065" w:type="dxa"/>
          </w:tcPr>
          <w:p w14:paraId="232A56ED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0CF78D8F">
            <w:r>
              <w:t>Policy item 16</w:t>
            </w:r>
          </w:p>
        </w:tc>
        <w:tc>
          <w:tcPr>
            <w:tcW w:w="1560" w:type="dxa"/>
          </w:tcPr>
          <w:p w14:paraId="0A6BD51F">
            <w:r>
              <w:t>monitor</w:t>
            </w:r>
          </w:p>
        </w:tc>
      </w:tr>
      <w:tr w14:paraId="53865E2F">
        <w:trPr>
          <w:jc w:val="center"/>
        </w:trPr>
        <w:tc>
          <w:tcPr>
            <w:tcW w:w="1065" w:type="dxa"/>
          </w:tcPr>
          <w:p w14:paraId="304DA76B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2C4D2FD3">
            <w:r>
              <w:t>Policy item 17</w:t>
            </w:r>
          </w:p>
        </w:tc>
        <w:tc>
          <w:tcPr>
            <w:tcW w:w="1560" w:type="dxa"/>
          </w:tcPr>
          <w:p w14:paraId="3C2D7ABE">
            <w:r>
              <w:t>review</w:t>
            </w:r>
          </w:p>
        </w:tc>
      </w:tr>
      <w:tr w14:paraId="3682372B">
        <w:trPr>
          <w:jc w:val="center"/>
        </w:trPr>
        <w:tc>
          <w:tcPr>
            <w:tcW w:w="1065" w:type="dxa"/>
          </w:tcPr>
          <w:p w14:paraId="7AA3F3B8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7A474179">
            <w:r>
              <w:t>Policy item 18</w:t>
            </w:r>
          </w:p>
        </w:tc>
        <w:tc>
          <w:tcPr>
            <w:tcW w:w="1560" w:type="dxa"/>
          </w:tcPr>
          <w:p w14:paraId="3F001BC4">
            <w:r>
              <w:t>monitor</w:t>
            </w:r>
          </w:p>
        </w:tc>
      </w:tr>
      <w:tr w14:paraId="3DBB82B8">
        <w:trPr>
          <w:jc w:val="center"/>
        </w:trPr>
        <w:tc>
          <w:tcPr>
            <w:tcW w:w="1065" w:type="dxa"/>
          </w:tcPr>
          <w:p w14:paraId="7D5A5CE7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1CE68B86">
            <w:r>
              <w:t>Policy item 19</w:t>
            </w:r>
          </w:p>
        </w:tc>
        <w:tc>
          <w:tcPr>
            <w:tcW w:w="1560" w:type="dxa"/>
          </w:tcPr>
          <w:p w14:paraId="6CEBD7F2">
            <w:r>
              <w:t>review</w:t>
            </w:r>
          </w:p>
        </w:tc>
      </w:tr>
      <w:tr w14:paraId="500E56C6">
        <w:trPr>
          <w:jc w:val="center"/>
        </w:trPr>
        <w:tc>
          <w:tcPr>
            <w:tcW w:w="1065" w:type="dxa"/>
          </w:tcPr>
          <w:p w14:paraId="72437322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1FD4528D">
            <w:r>
              <w:t>Policy item 20</w:t>
            </w:r>
          </w:p>
        </w:tc>
        <w:tc>
          <w:tcPr>
            <w:tcW w:w="1560" w:type="dxa"/>
          </w:tcPr>
          <w:p w14:paraId="3C0966FC">
            <w:r>
              <w:t>monitor</w:t>
            </w:r>
          </w:p>
        </w:tc>
      </w:tr>
      <w:tr w14:paraId="1D010220">
        <w:trPr>
          <w:jc w:val="center"/>
        </w:trPr>
        <w:tc>
          <w:tcPr>
            <w:tcW w:w="1065" w:type="dxa"/>
          </w:tcPr>
          <w:p w14:paraId="702D6BC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7B9EB184">
            <w:r>
              <w:t>Policy item 21</w:t>
            </w:r>
          </w:p>
        </w:tc>
        <w:tc>
          <w:tcPr>
            <w:tcW w:w="1560" w:type="dxa"/>
          </w:tcPr>
          <w:p w14:paraId="0AD6F6B1">
            <w:r>
              <w:t>review</w:t>
            </w:r>
          </w:p>
        </w:tc>
      </w:tr>
      <w:tr w14:paraId="22005384">
        <w:trPr>
          <w:jc w:val="center"/>
        </w:trPr>
        <w:tc>
          <w:tcPr>
            <w:tcW w:w="1065" w:type="dxa"/>
          </w:tcPr>
          <w:p w14:paraId="4FC263A2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094598B6">
            <w:r>
              <w:t>Policy item 22</w:t>
            </w:r>
          </w:p>
        </w:tc>
        <w:tc>
          <w:tcPr>
            <w:tcW w:w="1560" w:type="dxa"/>
          </w:tcPr>
          <w:p w14:paraId="0012078E">
            <w:r>
              <w:t>monitor</w:t>
            </w:r>
          </w:p>
        </w:tc>
      </w:tr>
      <w:tr w14:paraId="11C3109D">
        <w:trPr>
          <w:jc w:val="center"/>
        </w:trPr>
        <w:tc>
          <w:tcPr>
            <w:tcW w:w="1065" w:type="dxa"/>
          </w:tcPr>
          <w:p w14:paraId="66F61DDD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2C64B2B5">
            <w:r>
              <w:t>Policy item 23</w:t>
            </w:r>
          </w:p>
        </w:tc>
        <w:tc>
          <w:tcPr>
            <w:tcW w:w="1560" w:type="dxa"/>
          </w:tcPr>
          <w:p w14:paraId="5D763651">
            <w:r>
              <w:t>review</w:t>
            </w:r>
          </w:p>
        </w:tc>
      </w:tr>
      <w:tr w14:paraId="79C25853">
        <w:trPr>
          <w:jc w:val="center"/>
        </w:trPr>
        <w:tc>
          <w:tcPr>
            <w:tcW w:w="1065" w:type="dxa"/>
          </w:tcPr>
          <w:p w14:paraId="4E439172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</w:pPr>
          </w:p>
        </w:tc>
        <w:tc>
          <w:tcPr>
            <w:tcW w:w="2055" w:type="dxa"/>
          </w:tcPr>
          <w:p w14:paraId="026F8F0D">
            <w:r>
              <w:t>Policy item 24</w:t>
            </w:r>
          </w:p>
        </w:tc>
        <w:tc>
          <w:tcPr>
            <w:tcW w:w="1560" w:type="dxa"/>
          </w:tcPr>
          <w:p w14:paraId="14763C09">
            <w:r>
              <w:t>monitor</w:t>
            </w:r>
          </w:p>
        </w:tc>
      </w:tr>
      <w:tr w14:paraId="508A6CF4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1C55462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  <w:bookmarkStart w:id="14" w:name="_Toc26972794"/>
          </w:p>
        </w:tc>
        <w:tc>
          <w:tcPr>
            <w:tcW w:w="2055" w:type="dxa"/>
            <w:shd w:val="clear" w:color="auto" w:fill="auto"/>
            <w:vAlign w:val="top"/>
          </w:tcPr>
          <w:p w14:paraId="23A8DA5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CA4CF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093C3295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2A0D4ECE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2D244E3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96465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39AA881E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4D11CAE1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6D94DD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25D6A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6E7ABBD9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45B3CA40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37A7252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0FA9D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2F060A68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28966F3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C1E211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B68FD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1722ACD9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8B5C72D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6963E85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98DB5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6F9E3258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ABBB5A7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53474BC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F224CD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3CDA04BF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C670FEF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3C63B6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80FBF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0351EC51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24BF8A75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2AC206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9713D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4103FB5E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5912F93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098E1C5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EF6D78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557AB994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160945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3DAA997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26A6D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27C87C4C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EF64564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8030D4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7E662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063C5A89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2EF9248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2E0B3CC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E7E17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2CA9289D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73608C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AC461F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B83A9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0F05ED7B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1F11EAD6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3A0D61E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2DF81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340529DE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7D1A511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3D55B95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CABD1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34D44191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71E7D5F7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7036DFC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9B050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5A788ED5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E44F9D6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7CC615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9B837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0EC1E991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72F77F63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7451122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638DC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1B56DC7E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03F9598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0B3FA9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AB459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4AEA2FD7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490586B9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66BE5B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FFFFF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55AE0AC6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397CDDB3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D6FC36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6C986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0A3BC62C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32C62C8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0DD2BCC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1EE84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3004609C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92728DE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53C87CC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D23A5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3EC276ED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28987D44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0AED57E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6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28F2BB4F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55709B99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7EF39B82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706D24C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7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517A9FC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74174B8B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D3ACCB9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63D5244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8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053A261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03906423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4FC546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918989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9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16C2694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258A0FEB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49DCAA9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5939C43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10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3AB4F946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63C132B6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47105B02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501E87E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11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6317F7C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71EEE02C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8DDE840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21F1F39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12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38EA963D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7B28EF62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87F55D0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9286E1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13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5CEDECDF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5B75DFC8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3E76B06B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220F787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14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6FB8795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166FDF4B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7FD9A021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08FF22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15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67D1C38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7754CF45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42B2E19B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487552C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16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59B88DC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1CBB8836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217EC0A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396EC119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17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736F817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4858F892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63249B1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70FD54C5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18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6A393A58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6659DB6A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135AABBD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5AA19DB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19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629A6C0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353F6869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6F667712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6C93101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20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421874DB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798B243F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5FC9B741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340C8982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21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620800C1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1037E277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4AF1C67C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7DF72697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22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32BCE8F0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  <w:tr w14:paraId="3F38C180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2E1FC5DF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13FDC09A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23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32ADAF1C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trust</w:t>
            </w:r>
          </w:p>
        </w:tc>
      </w:tr>
      <w:tr w14:paraId="108C57F9">
        <w:trPr>
          <w:jc w:val="center"/>
        </w:trPr>
        <w:tc>
          <w:tcPr>
            <w:tcW w:w="1065" w:type="dxa"/>
            <w:shd w:val="clear" w:color="auto" w:fill="auto"/>
            <w:vAlign w:val="top"/>
          </w:tcPr>
          <w:p w14:paraId="03CC7EAD">
            <w:pPr>
              <w:pStyle w:val="13"/>
              <w:numPr>
                <w:ilvl w:val="0"/>
                <w:numId w:val="9"/>
              </w:numPr>
              <w:bidi w:val="0"/>
              <w:ind w:left="720" w:leftChars="0" w:hanging="360" w:firstLineChars="0"/>
              <w:rPr>
                <w:lang w:val="en-US" w:eastAsia="en-US"/>
              </w:rPr>
            </w:pPr>
          </w:p>
        </w:tc>
        <w:tc>
          <w:tcPr>
            <w:tcW w:w="2055" w:type="dxa"/>
            <w:shd w:val="clear" w:color="auto" w:fill="auto"/>
            <w:vAlign w:val="top"/>
          </w:tcPr>
          <w:p w14:paraId="74C0EBC3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Social item 24</w:t>
            </w:r>
          </w:p>
        </w:tc>
        <w:tc>
          <w:tcPr>
            <w:tcW w:w="1560" w:type="dxa"/>
            <w:shd w:val="clear" w:color="auto" w:fill="auto"/>
            <w:vAlign w:val="top"/>
          </w:tcPr>
          <w:p w14:paraId="3E8C10E4">
            <w:pPr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equity</w:t>
            </w:r>
          </w:p>
        </w:tc>
      </w:tr>
    </w:tbl>
    <w:p w14:paraId="20DCC37D">
      <w:pPr>
        <w:sectPr>
          <w:pgSz w:w="12240" w:h="15840"/>
          <w:pgMar w:top="1440" w:right="1440" w:bottom="1440" w:left="1440" w:header="720" w:footer="720" w:gutter="0"/>
          <w:cols w:equalWidth="0" w:num="2">
            <w:col w:w="4467" w:space="425"/>
            <w:col w:w="4467"/>
          </w:cols>
          <w:docGrid w:linePitch="360" w:charSpace="0"/>
        </w:sectPr>
      </w:pPr>
      <w:r>
        <w:br w:type="page"/>
      </w:r>
    </w:p>
    <w:p w14:paraId="7D288302"/>
    <w:p w14:paraId="7DDA3759"/>
    <w:p w14:paraId="594695A0">
      <w:pPr>
        <w:pStyle w:val="4"/>
      </w:pPr>
      <w:r>
        <w:t>2.7 表格内嵌图片与公式</w:t>
      </w:r>
      <w:bookmarkEnd w:id="14"/>
    </w:p>
    <w:p w14:paraId="1EC7C0F1">
      <w:r>
        <w:t>下表用于验证表格单元格内部包含图片、标题和说明文本。</w:t>
      </w:r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4C73A06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1029">
            <w:r>
              <w:t>场景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7BE1">
            <w:r>
              <w:t>单元格图片 A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1B7A">
            <w:r>
              <w:t>单元格图片 B</w:t>
            </w:r>
          </w:p>
        </w:tc>
      </w:tr>
      <w:tr w14:paraId="7E847E83">
        <w:trPr>
          <w:jc w:val="center"/>
        </w:trPr>
        <w:tc>
          <w:tcPr>
            <w:tcW w:w="3120" w:type="dxa"/>
          </w:tcPr>
          <w:p w14:paraId="61D19353">
            <w:r>
              <w:t>课堂辅助</w:t>
            </w:r>
          </w:p>
        </w:tc>
        <w:tc>
          <w:tcPr>
            <w:tcW w:w="3120" w:type="dxa"/>
          </w:tcPr>
          <w:p w14:paraId="30E88124">
            <w:pPr>
              <w:jc w:val="center"/>
            </w:pPr>
            <w:r>
              <w:drawing>
                <wp:inline distT="0" distB="0" distL="114300" distR="114300">
                  <wp:extent cx="1965960" cy="1066800"/>
                  <wp:effectExtent l="0" t="0" r="152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6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433AA">
            <w:pPr>
              <w:jc w:val="center"/>
            </w:pPr>
            <w:r>
              <w:rPr>
                <w:sz w:val="16"/>
              </w:rPr>
              <w:t>嵌入单元格图片</w:t>
            </w:r>
          </w:p>
        </w:tc>
        <w:tc>
          <w:tcPr>
            <w:tcW w:w="3120" w:type="dxa"/>
          </w:tcPr>
          <w:p w14:paraId="71F30D77">
            <w:pPr>
              <w:jc w:val="center"/>
            </w:pPr>
            <w:r>
              <w:drawing>
                <wp:inline distT="0" distB="0" distL="114300" distR="114300">
                  <wp:extent cx="1965960" cy="1105535"/>
                  <wp:effectExtent l="0" t="0" r="15240" b="120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0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7A3C2">
            <w:pPr>
              <w:jc w:val="center"/>
            </w:pPr>
            <w:r>
              <w:rPr>
                <w:sz w:val="16"/>
              </w:rPr>
              <w:t>另一张单元格图片</w:t>
            </w:r>
          </w:p>
        </w:tc>
      </w:tr>
      <w:tr w14:paraId="51A981F1">
        <w:trPr>
          <w:jc w:val="center"/>
        </w:trPr>
        <w:tc>
          <w:tcPr>
            <w:tcW w:w="3120" w:type="dxa"/>
          </w:tcPr>
          <w:p w14:paraId="6FF4D016">
            <w:r>
              <w:t>治理流程</w:t>
            </w:r>
          </w:p>
        </w:tc>
        <w:tc>
          <w:tcPr>
            <w:tcW w:w="3120" w:type="dxa"/>
          </w:tcPr>
          <w:p w14:paraId="0A71B5A3">
            <w:pPr>
              <w:jc w:val="center"/>
            </w:pPr>
            <w:r>
              <w:drawing>
                <wp:inline distT="0" distB="0" distL="114300" distR="114300">
                  <wp:extent cx="1965960" cy="1105535"/>
                  <wp:effectExtent l="0" t="0" r="15240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0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ECB6F">
            <w:pPr>
              <w:jc w:val="center"/>
            </w:pPr>
            <w:r>
              <w:rPr>
                <w:sz w:val="16"/>
              </w:rPr>
              <w:t>嵌入单元格图片</w:t>
            </w:r>
          </w:p>
        </w:tc>
        <w:tc>
          <w:tcPr>
            <w:tcW w:w="3120" w:type="dxa"/>
          </w:tcPr>
          <w:p w14:paraId="4AF8E668">
            <w:pPr>
              <w:jc w:val="center"/>
            </w:pPr>
            <w:r>
              <w:drawing>
                <wp:inline distT="0" distB="0" distL="114300" distR="114300">
                  <wp:extent cx="1965960" cy="1066800"/>
                  <wp:effectExtent l="0" t="0" r="152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06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700FF">
            <w:pPr>
              <w:jc w:val="center"/>
            </w:pPr>
            <w:r>
              <w:rPr>
                <w:sz w:val="16"/>
              </w:rPr>
              <w:t>另一张单元格图片</w:t>
            </w:r>
          </w:p>
        </w:tc>
      </w:tr>
    </w:tbl>
    <w:p w14:paraId="487E28BB">
      <w:r>
        <w:t>下表用于验证表格单元格内部包含公式样式文本。</w:t>
      </w:r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D31A609">
        <w:trPr>
          <w:jc w:val="center"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B8D8">
            <w:r>
              <w:t>指标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EFDE">
            <w:r>
              <w:t>单元格公式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26AC">
            <w:r>
              <w:t>解释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18D4">
            <w:r>
              <w:t>阈值</w:t>
            </w:r>
          </w:p>
        </w:tc>
      </w:tr>
      <w:tr w14:paraId="46D9BC04">
        <w:trPr>
          <w:jc w:val="center"/>
        </w:trPr>
        <w:tc>
          <w:tcPr>
            <w:tcW w:w="2340" w:type="dxa"/>
          </w:tcPr>
          <w:p w14:paraId="417BE992">
            <w:pPr>
              <w:jc w:val="left"/>
            </w:pPr>
            <w:r>
              <w:t>公平性</w:t>
            </w:r>
          </w:p>
        </w:tc>
        <w:tc>
          <w:tcPr>
            <w:tcW w:w="2340" w:type="dxa"/>
          </w:tcPr>
          <w:p w14:paraId="00E11416">
            <w:pPr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DejaVu Math TeX Gyre" w:hAnsi="DejaVu Math TeX Gyre" w:cstheme="minorBidi"/>
                    <w:sz w:val="18"/>
                    <w:szCs w:val="22"/>
                    <w:lang w:val="en-US" w:bidi="ar-SA"/>
                  </w:rPr>
                  <m:t>FairnessGap = max(group_loss) − min(group_loss)</m:t>
                </m:r>
              </m:oMath>
            </m:oMathPara>
          </w:p>
        </w:tc>
        <w:tc>
          <w:tcPr>
            <w:tcW w:w="2340" w:type="dxa"/>
          </w:tcPr>
          <w:p w14:paraId="3B1AC3C8">
            <w:pPr>
              <w:jc w:val="left"/>
            </w:pPr>
            <w:r>
              <w:t>跨群体误差差异</w:t>
            </w:r>
          </w:p>
        </w:tc>
        <w:tc>
          <w:tcPr>
            <w:tcW w:w="2340" w:type="dxa"/>
          </w:tcPr>
          <w:p w14:paraId="738C43CF">
            <w:pPr>
              <w:jc w:val="center"/>
            </w:pPr>
            <w:r>
              <w:t>&lt; 0.08</w:t>
            </w:r>
          </w:p>
        </w:tc>
      </w:tr>
      <w:tr w14:paraId="3D1293EB">
        <w:trPr>
          <w:jc w:val="center"/>
        </w:trPr>
        <w:tc>
          <w:tcPr>
            <w:tcW w:w="2340" w:type="dxa"/>
          </w:tcPr>
          <w:p w14:paraId="6493EAC7">
            <w:pPr>
              <w:jc w:val="left"/>
            </w:pPr>
            <w:r>
              <w:t>信任度</w:t>
            </w:r>
          </w:p>
        </w:tc>
        <w:tc>
          <w:tcPr>
            <w:tcW w:w="2340" w:type="dxa"/>
          </w:tcPr>
          <w:p w14:paraId="4B5D3DDA">
            <w:pPr>
              <w:jc w:val="center"/>
            </w:pPr>
            <w:r>
              <w:rPr>
                <w:rFonts w:ascii="Cambria Math" w:hAnsi="Cambria Math"/>
                <w:b/>
                <w:sz w:val="18"/>
              </w:rPr>
              <w:t>TrustIndex = (AppealsResolved + AuditCoverage) / Incidents</w:t>
            </w:r>
          </w:p>
        </w:tc>
        <w:tc>
          <w:tcPr>
            <w:tcW w:w="2340" w:type="dxa"/>
          </w:tcPr>
          <w:p w14:paraId="61D772CA">
            <w:pPr>
              <w:jc w:val="left"/>
            </w:pPr>
            <w:r>
              <w:t>申诉与审计覆盖</w:t>
            </w:r>
          </w:p>
        </w:tc>
        <w:tc>
          <w:tcPr>
            <w:tcW w:w="2340" w:type="dxa"/>
          </w:tcPr>
          <w:p w14:paraId="0889BFD0">
            <w:pPr>
              <w:jc w:val="center"/>
            </w:pPr>
            <w:r>
              <w:t>&gt; 0.75</w:t>
            </w:r>
          </w:p>
        </w:tc>
      </w:tr>
      <w:tr w14:paraId="2F1FEA5F">
        <w:trPr>
          <w:jc w:val="center"/>
        </w:trPr>
        <w:tc>
          <w:tcPr>
            <w:tcW w:w="2340" w:type="dxa"/>
          </w:tcPr>
          <w:p w14:paraId="22D94C90">
            <w:pPr>
              <w:jc w:val="left"/>
            </w:pPr>
            <w:r>
              <w:t>效率</w:t>
            </w:r>
          </w:p>
        </w:tc>
        <w:tc>
          <w:tcPr>
            <w:tcW w:w="2340" w:type="dxa"/>
          </w:tcPr>
          <w:p w14:paraId="0AE998C5">
            <w:pPr>
              <w:jc w:val="center"/>
            </w:pPr>
            <w:r>
              <w:rPr>
                <w:rFonts w:ascii="Cambria Math" w:hAnsi="Cambria Math"/>
                <w:b/>
                <w:sz w:val="18"/>
              </w:rPr>
              <w:t>NetBenefit = TimeSaved - ReviewCost - ErrorCost</w:t>
            </w:r>
          </w:p>
        </w:tc>
        <w:tc>
          <w:tcPr>
            <w:tcW w:w="2340" w:type="dxa"/>
          </w:tcPr>
          <w:p w14:paraId="4E1E1E18">
            <w:pPr>
              <w:jc w:val="left"/>
            </w:pPr>
            <w:r>
              <w:t>收益扣除复核成本</w:t>
            </w:r>
          </w:p>
        </w:tc>
        <w:tc>
          <w:tcPr>
            <w:tcW w:w="2340" w:type="dxa"/>
          </w:tcPr>
          <w:p w14:paraId="6B55D31A">
            <w:pPr>
              <w:jc w:val="center"/>
            </w:pPr>
            <w:r>
              <w:t>&gt; 0</w:t>
            </w:r>
          </w:p>
        </w:tc>
      </w:tr>
    </w:tbl>
    <w:p w14:paraId="31FCE54C">
      <w:r>
        <w:br w:type="page"/>
      </w:r>
    </w:p>
    <w:p w14:paraId="05BB1B41">
      <w:pPr>
        <w:pStyle w:val="4"/>
      </w:pPr>
      <w:bookmarkStart w:id="15" w:name="_Toc212699241"/>
      <w:r>
        <w:t>2.8 非标准格式申请单（不跨页）</w:t>
      </w:r>
      <w:bookmarkEnd w:id="15"/>
    </w:p>
    <w:p w14:paraId="13BBBCCB">
      <w:r>
        <w:t>该表单故意使用不规则字段、合并单元格、复选框、签批栏和长说明，用于测试非标准申请单解析。</w:t>
      </w:r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E593C98">
        <w:trPr>
          <w:jc w:val="center"/>
        </w:trPr>
        <w:tc>
          <w:tcPr>
            <w:tcW w:w="8856" w:type="dxa"/>
            <w:gridSpan w:val="6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09AC">
            <w:r>
              <w:t>非标准申请单：LLM 教育试点快速审批</w:t>
            </w:r>
          </w:p>
        </w:tc>
      </w:tr>
      <w:tr w14:paraId="55B25B1C">
        <w:trPr>
          <w:jc w:val="center"/>
        </w:trPr>
        <w:tc>
          <w:tcPr>
            <w:tcW w:w="1560" w:type="dxa"/>
          </w:tcPr>
          <w:p w14:paraId="3594FD74">
            <w:r>
              <w:t>申请编号</w:t>
            </w:r>
          </w:p>
        </w:tc>
        <w:tc>
          <w:tcPr>
            <w:tcW w:w="1560" w:type="dxa"/>
          </w:tcPr>
          <w:p w14:paraId="0C500D63">
            <w:r>
              <w:t>LLM-FORM-2026-01</w:t>
            </w:r>
          </w:p>
        </w:tc>
        <w:tc>
          <w:tcPr>
            <w:tcW w:w="1560" w:type="dxa"/>
          </w:tcPr>
          <w:p w14:paraId="68273BED">
            <w:r>
              <w:t>申请部门</w:t>
            </w:r>
          </w:p>
        </w:tc>
        <w:tc>
          <w:tcPr>
            <w:tcW w:w="1560" w:type="dxa"/>
          </w:tcPr>
          <w:p w14:paraId="46785BB6">
            <w:r>
              <w:t>公共服务创新组</w:t>
            </w:r>
          </w:p>
        </w:tc>
        <w:tc>
          <w:tcPr>
            <w:tcW w:w="1560" w:type="dxa"/>
          </w:tcPr>
          <w:p w14:paraId="3228CE51">
            <w:r>
              <w:t>紧急程度</w:t>
            </w:r>
          </w:p>
        </w:tc>
        <w:tc>
          <w:tcPr>
            <w:tcW w:w="1560" w:type="dxa"/>
          </w:tcPr>
          <w:p w14:paraId="3CAF7149">
            <w:r>
              <w:t>□ 常规  ■ 加急</w:t>
            </w:r>
          </w:p>
        </w:tc>
      </w:tr>
      <w:tr w14:paraId="22631344">
        <w:trPr>
          <w:jc w:val="center"/>
        </w:trPr>
        <w:tc>
          <w:tcPr>
            <w:tcW w:w="1560" w:type="dxa"/>
          </w:tcPr>
          <w:p w14:paraId="5811318D">
            <w:r>
              <w:t>联系人</w:t>
            </w:r>
          </w:p>
        </w:tc>
        <w:tc>
          <w:tcPr>
            <w:tcW w:w="1560" w:type="dxa"/>
          </w:tcPr>
          <w:p w14:paraId="54558BCA">
            <w:r>
              <w:t>A. Researcher</w:t>
            </w:r>
          </w:p>
        </w:tc>
        <w:tc>
          <w:tcPr>
            <w:tcW w:w="1560" w:type="dxa"/>
          </w:tcPr>
          <w:p w14:paraId="2F717724">
            <w:r>
              <w:t>联系电话</w:t>
            </w:r>
          </w:p>
        </w:tc>
        <w:tc>
          <w:tcPr>
            <w:tcW w:w="1560" w:type="dxa"/>
          </w:tcPr>
          <w:p w14:paraId="57B570FC">
            <w:r>
              <w:t>N/A</w:t>
            </w:r>
          </w:p>
        </w:tc>
        <w:tc>
          <w:tcPr>
            <w:tcW w:w="1560" w:type="dxa"/>
          </w:tcPr>
          <w:p w14:paraId="530F58FE">
            <w:r>
              <w:t>语言范围</w:t>
            </w:r>
          </w:p>
        </w:tc>
        <w:tc>
          <w:tcPr>
            <w:tcW w:w="1560" w:type="dxa"/>
          </w:tcPr>
          <w:p w14:paraId="3B60E739">
            <w:r>
              <w:t>English / 中文 / Deutsch</w:t>
            </w:r>
          </w:p>
        </w:tc>
      </w:tr>
      <w:tr w14:paraId="589DC08D">
        <w:trPr>
          <w:jc w:val="center"/>
        </w:trPr>
        <w:tc>
          <w:tcPr>
            <w:tcW w:w="1560" w:type="dxa"/>
          </w:tcPr>
          <w:p w14:paraId="42051F51">
            <w:r>
              <w:t>上线目标</w:t>
            </w:r>
          </w:p>
        </w:tc>
        <w:tc>
          <w:tcPr>
            <w:tcW w:w="1560" w:type="dxa"/>
          </w:tcPr>
          <w:p w14:paraId="17D27DC0">
            <w:r>
              <w:t>提升多语种问答效率</w:t>
            </w:r>
          </w:p>
        </w:tc>
        <w:tc>
          <w:tcPr>
            <w:tcW w:w="1560" w:type="dxa"/>
          </w:tcPr>
          <w:p w14:paraId="3A37FBB6">
            <w:r>
              <w:t>数据来源</w:t>
            </w:r>
          </w:p>
        </w:tc>
        <w:tc>
          <w:tcPr>
            <w:tcW w:w="1560" w:type="dxa"/>
          </w:tcPr>
          <w:p w14:paraId="599AF8E6">
            <w:r>
              <w:t>公开政策文档</w:t>
            </w:r>
          </w:p>
        </w:tc>
        <w:tc>
          <w:tcPr>
            <w:tcW w:w="1560" w:type="dxa"/>
          </w:tcPr>
          <w:p w14:paraId="6AA601B7">
            <w:r>
              <w:t>影响对象</w:t>
            </w:r>
          </w:p>
        </w:tc>
        <w:tc>
          <w:tcPr>
            <w:tcW w:w="1560" w:type="dxa"/>
          </w:tcPr>
          <w:p w14:paraId="556C1C58">
            <w:r>
              <w:t>学生、教师、市民</w:t>
            </w:r>
          </w:p>
        </w:tc>
      </w:tr>
      <w:tr w14:paraId="764CC625">
        <w:trPr>
          <w:jc w:val="center"/>
        </w:trPr>
        <w:tc>
          <w:tcPr>
            <w:tcW w:w="1560" w:type="dxa"/>
          </w:tcPr>
          <w:p w14:paraId="343C553D">
            <w:r>
              <w:t>风险等级</w:t>
            </w:r>
          </w:p>
        </w:tc>
        <w:tc>
          <w:tcPr>
            <w:tcW w:w="1560" w:type="dxa"/>
          </w:tcPr>
          <w:p w14:paraId="4982CA78">
            <w:r>
              <w:t>□ 低  ■ 中  □ 高</w:t>
            </w:r>
          </w:p>
        </w:tc>
        <w:tc>
          <w:tcPr>
            <w:tcW w:w="1560" w:type="dxa"/>
          </w:tcPr>
          <w:p w14:paraId="13995920">
            <w:r>
              <w:t>人工复核</w:t>
            </w:r>
          </w:p>
        </w:tc>
        <w:tc>
          <w:tcPr>
            <w:tcW w:w="1560" w:type="dxa"/>
          </w:tcPr>
          <w:p w14:paraId="34ACC703">
            <w:r>
              <w:t>■ 必需  □ 抽查</w:t>
            </w:r>
          </w:p>
        </w:tc>
        <w:tc>
          <w:tcPr>
            <w:tcW w:w="1560" w:type="dxa"/>
          </w:tcPr>
          <w:p w14:paraId="634EF05B">
            <w:r>
              <w:t>保留期限</w:t>
            </w:r>
          </w:p>
        </w:tc>
        <w:tc>
          <w:tcPr>
            <w:tcW w:w="1560" w:type="dxa"/>
          </w:tcPr>
          <w:p w14:paraId="74E9BDCF">
            <w:r>
              <w:t>180 days</w:t>
            </w:r>
          </w:p>
        </w:tc>
      </w:tr>
      <w:tr w14:paraId="1EE8EB22">
        <w:trPr>
          <w:jc w:val="center"/>
        </w:trPr>
        <w:tc>
          <w:tcPr>
            <w:tcW w:w="3120" w:type="dxa"/>
            <w:gridSpan w:val="2"/>
          </w:tcPr>
          <w:p w14:paraId="1B5EA0D7">
            <w:r>
              <w:t>申请理由</w:t>
            </w:r>
          </w:p>
        </w:tc>
        <w:tc>
          <w:tcPr>
            <w:tcW w:w="6240" w:type="dxa"/>
            <w:gridSpan w:val="4"/>
          </w:tcPr>
          <w:p w14:paraId="58F88C53">
            <w:r>
              <w:t>本项目需要在受控环境中验证 LLM 对公共服务、教育辅导和知识检索的影响，并要求记录所有人工复核结论。</w:t>
            </w:r>
          </w:p>
        </w:tc>
      </w:tr>
      <w:tr w14:paraId="4C6AE716">
        <w:trPr>
          <w:jc w:val="center"/>
        </w:trPr>
        <w:tc>
          <w:tcPr>
            <w:tcW w:w="3120" w:type="dxa"/>
            <w:gridSpan w:val="2"/>
          </w:tcPr>
          <w:p w14:paraId="1032C731">
            <w:r>
              <w:t>非标准承诺项</w:t>
            </w:r>
          </w:p>
        </w:tc>
        <w:tc>
          <w:tcPr>
            <w:tcW w:w="6240" w:type="dxa"/>
            <w:gridSpan w:val="4"/>
          </w:tcPr>
          <w:p w14:paraId="54A6FD3F">
            <w:r>
              <w:t>□ 可完全自动决策    ■ 必须人工确认    ■ 必须提供申诉渠道    □ 可省略审计</w:t>
            </w:r>
          </w:p>
        </w:tc>
      </w:tr>
      <w:tr w14:paraId="6127432A">
        <w:trPr>
          <w:jc w:val="center"/>
        </w:trPr>
        <w:tc>
          <w:tcPr>
            <w:tcW w:w="1560" w:type="dxa"/>
          </w:tcPr>
          <w:p w14:paraId="330436B2">
            <w:r>
              <w:t>检查项 1</w:t>
            </w:r>
          </w:p>
        </w:tc>
        <w:tc>
          <w:tcPr>
            <w:tcW w:w="4680" w:type="dxa"/>
            <w:gridSpan w:val="3"/>
          </w:tcPr>
          <w:p w14:paraId="466357C3">
            <w:r>
              <w:t>第 1 项：确认数据最小化、偏差监测、用户告知和退出机制。</w:t>
            </w:r>
          </w:p>
        </w:tc>
        <w:tc>
          <w:tcPr>
            <w:tcW w:w="1560" w:type="dxa"/>
          </w:tcPr>
          <w:p w14:paraId="3ADEA742">
            <w:r>
              <w:t>结果</w:t>
            </w:r>
          </w:p>
        </w:tc>
        <w:tc>
          <w:tcPr>
            <w:tcW w:w="1560" w:type="dxa"/>
          </w:tcPr>
          <w:p w14:paraId="731D0550">
            <w:r>
              <w:t>□ 通过  □ 需修订</w:t>
            </w:r>
          </w:p>
        </w:tc>
      </w:tr>
      <w:tr w14:paraId="6DC3C882">
        <w:trPr>
          <w:jc w:val="center"/>
        </w:trPr>
        <w:tc>
          <w:tcPr>
            <w:tcW w:w="1560" w:type="dxa"/>
          </w:tcPr>
          <w:p w14:paraId="43DCBBE3">
            <w:r>
              <w:t>检查项 2</w:t>
            </w:r>
          </w:p>
        </w:tc>
        <w:tc>
          <w:tcPr>
            <w:tcW w:w="4680" w:type="dxa"/>
            <w:gridSpan w:val="3"/>
          </w:tcPr>
          <w:p w14:paraId="34C0D1EC">
            <w:r>
              <w:t>第 2 项：确认数据最小化、偏差监测、用户告知和退出机制。</w:t>
            </w:r>
          </w:p>
        </w:tc>
        <w:tc>
          <w:tcPr>
            <w:tcW w:w="1560" w:type="dxa"/>
          </w:tcPr>
          <w:p w14:paraId="4FDA5992">
            <w:r>
              <w:t>结果</w:t>
            </w:r>
          </w:p>
        </w:tc>
        <w:tc>
          <w:tcPr>
            <w:tcW w:w="1560" w:type="dxa"/>
          </w:tcPr>
          <w:p w14:paraId="6FAB044B">
            <w:r>
              <w:t>□ 通过  □ 需修订</w:t>
            </w:r>
          </w:p>
        </w:tc>
      </w:tr>
      <w:tr w14:paraId="081A7A53">
        <w:trPr>
          <w:jc w:val="center"/>
        </w:trPr>
        <w:tc>
          <w:tcPr>
            <w:tcW w:w="1560" w:type="dxa"/>
          </w:tcPr>
          <w:p w14:paraId="58A9F034">
            <w:r>
              <w:t>检查项 3</w:t>
            </w:r>
          </w:p>
        </w:tc>
        <w:tc>
          <w:tcPr>
            <w:tcW w:w="4680" w:type="dxa"/>
            <w:gridSpan w:val="3"/>
          </w:tcPr>
          <w:p w14:paraId="1AA2788D">
            <w:r>
              <w:t>第 3 项：确认数据最小化、偏差监测、用户告知和退出机制。</w:t>
            </w:r>
          </w:p>
        </w:tc>
        <w:tc>
          <w:tcPr>
            <w:tcW w:w="1560" w:type="dxa"/>
          </w:tcPr>
          <w:p w14:paraId="7836FD2C">
            <w:r>
              <w:t>结果</w:t>
            </w:r>
          </w:p>
        </w:tc>
        <w:tc>
          <w:tcPr>
            <w:tcW w:w="1560" w:type="dxa"/>
          </w:tcPr>
          <w:p w14:paraId="46BF93E7">
            <w:r>
              <w:t>□ 通过  □ 需修订</w:t>
            </w:r>
          </w:p>
        </w:tc>
      </w:tr>
      <w:tr w14:paraId="63AB1CE1">
        <w:trPr>
          <w:jc w:val="center"/>
        </w:trPr>
        <w:tc>
          <w:tcPr>
            <w:tcW w:w="1560" w:type="dxa"/>
          </w:tcPr>
          <w:p w14:paraId="089A0A20">
            <w:r>
              <w:t>检查项 4</w:t>
            </w:r>
          </w:p>
        </w:tc>
        <w:tc>
          <w:tcPr>
            <w:tcW w:w="4680" w:type="dxa"/>
            <w:gridSpan w:val="3"/>
          </w:tcPr>
          <w:p w14:paraId="6D9AAF57">
            <w:r>
              <w:t>第 4 项：确认数据最小化、偏差监测、用户告知和退出机制。</w:t>
            </w:r>
          </w:p>
        </w:tc>
        <w:tc>
          <w:tcPr>
            <w:tcW w:w="1560" w:type="dxa"/>
          </w:tcPr>
          <w:p w14:paraId="149EC41D">
            <w:r>
              <w:t>结果</w:t>
            </w:r>
          </w:p>
        </w:tc>
        <w:tc>
          <w:tcPr>
            <w:tcW w:w="1560" w:type="dxa"/>
          </w:tcPr>
          <w:p w14:paraId="010EE8AB">
            <w:r>
              <w:t>□ 通过  □ 需修订</w:t>
            </w:r>
          </w:p>
        </w:tc>
      </w:tr>
      <w:tr w14:paraId="70637342">
        <w:trPr>
          <w:jc w:val="center"/>
        </w:trPr>
        <w:tc>
          <w:tcPr>
            <w:tcW w:w="1560" w:type="dxa"/>
          </w:tcPr>
          <w:p w14:paraId="7B17C1BD">
            <w:r>
              <w:t>申请人</w:t>
            </w:r>
          </w:p>
        </w:tc>
        <w:tc>
          <w:tcPr>
            <w:tcW w:w="1560" w:type="dxa"/>
          </w:tcPr>
          <w:p w14:paraId="736AB801">
            <w:r>
              <w:t>________</w:t>
            </w:r>
          </w:p>
        </w:tc>
        <w:tc>
          <w:tcPr>
            <w:tcW w:w="1560" w:type="dxa"/>
          </w:tcPr>
          <w:p w14:paraId="4A6734A7">
            <w:r>
              <w:t>审核人</w:t>
            </w:r>
          </w:p>
        </w:tc>
        <w:tc>
          <w:tcPr>
            <w:tcW w:w="1560" w:type="dxa"/>
          </w:tcPr>
          <w:p w14:paraId="273F4D54">
            <w:r>
              <w:t>________</w:t>
            </w:r>
          </w:p>
        </w:tc>
        <w:tc>
          <w:tcPr>
            <w:tcW w:w="1560" w:type="dxa"/>
          </w:tcPr>
          <w:p w14:paraId="5AFB4460">
            <w:r>
              <w:t>日期</w:t>
            </w:r>
          </w:p>
        </w:tc>
        <w:tc>
          <w:tcPr>
            <w:tcW w:w="1560" w:type="dxa"/>
          </w:tcPr>
          <w:p w14:paraId="61198E0A">
            <w:r>
              <w:t>2026-07-01</w:t>
            </w:r>
          </w:p>
        </w:tc>
      </w:tr>
    </w:tbl>
    <w:p w14:paraId="1F33580D">
      <w:pPr>
        <w:pStyle w:val="4"/>
      </w:pPr>
      <w:bookmarkStart w:id="16" w:name="_Toc1423354879"/>
      <w:r>
        <w:t>2.9 非标准格式申请单（跨页）</w:t>
      </w:r>
      <w:bookmarkEnd w:id="16"/>
    </w:p>
    <w:p w14:paraId="3D981162">
      <w:r>
        <w:t>该表单故意使用不规则字段、合并单元格、复选框、签批栏和长说明，用于测试非标准申请单解析。</w:t>
      </w:r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04DE804">
        <w:trPr>
          <w:jc w:val="center"/>
        </w:trPr>
        <w:tc>
          <w:tcPr>
            <w:tcW w:w="8856" w:type="dxa"/>
            <w:gridSpan w:val="6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1A9B">
            <w:r>
              <w:t>跨页非标准申请单：LLM 高影响场景上线审批</w:t>
            </w:r>
          </w:p>
        </w:tc>
      </w:tr>
      <w:tr w14:paraId="60E6029D">
        <w:trPr>
          <w:jc w:val="center"/>
        </w:trPr>
        <w:tc>
          <w:tcPr>
            <w:tcW w:w="1560" w:type="dxa"/>
          </w:tcPr>
          <w:p w14:paraId="764A7321">
            <w:r>
              <w:t>申请编号</w:t>
            </w:r>
          </w:p>
        </w:tc>
        <w:tc>
          <w:tcPr>
            <w:tcW w:w="1560" w:type="dxa"/>
          </w:tcPr>
          <w:p w14:paraId="541A84A3">
            <w:r>
              <w:t>LLM-FORM-2026-01</w:t>
            </w:r>
          </w:p>
        </w:tc>
        <w:tc>
          <w:tcPr>
            <w:tcW w:w="1560" w:type="dxa"/>
          </w:tcPr>
          <w:p w14:paraId="2EF06E71">
            <w:r>
              <w:t>申请部门</w:t>
            </w:r>
          </w:p>
        </w:tc>
        <w:tc>
          <w:tcPr>
            <w:tcW w:w="1560" w:type="dxa"/>
          </w:tcPr>
          <w:p w14:paraId="3F83DB27">
            <w:r>
              <w:t>公共服务创新组</w:t>
            </w:r>
          </w:p>
        </w:tc>
        <w:tc>
          <w:tcPr>
            <w:tcW w:w="1560" w:type="dxa"/>
          </w:tcPr>
          <w:p w14:paraId="04AAE44A">
            <w:r>
              <w:t>紧急程度</w:t>
            </w:r>
          </w:p>
        </w:tc>
        <w:tc>
          <w:tcPr>
            <w:tcW w:w="1560" w:type="dxa"/>
          </w:tcPr>
          <w:p w14:paraId="6C1534C4">
            <w:r>
              <w:t>□ 常规  ■ 加急</w:t>
            </w:r>
          </w:p>
        </w:tc>
      </w:tr>
      <w:tr w14:paraId="5F5F1E4E">
        <w:trPr>
          <w:jc w:val="center"/>
        </w:trPr>
        <w:tc>
          <w:tcPr>
            <w:tcW w:w="1560" w:type="dxa"/>
          </w:tcPr>
          <w:p w14:paraId="600D7751">
            <w:r>
              <w:t>联系人</w:t>
            </w:r>
          </w:p>
        </w:tc>
        <w:tc>
          <w:tcPr>
            <w:tcW w:w="1560" w:type="dxa"/>
          </w:tcPr>
          <w:p w14:paraId="7D569D4E">
            <w:r>
              <w:t>A. Researcher</w:t>
            </w:r>
          </w:p>
        </w:tc>
        <w:tc>
          <w:tcPr>
            <w:tcW w:w="1560" w:type="dxa"/>
          </w:tcPr>
          <w:p w14:paraId="1302E359">
            <w:r>
              <w:t>联系电话</w:t>
            </w:r>
          </w:p>
        </w:tc>
        <w:tc>
          <w:tcPr>
            <w:tcW w:w="1560" w:type="dxa"/>
          </w:tcPr>
          <w:p w14:paraId="3E4F3BF2">
            <w:r>
              <w:t>N/A</w:t>
            </w:r>
          </w:p>
        </w:tc>
        <w:tc>
          <w:tcPr>
            <w:tcW w:w="1560" w:type="dxa"/>
          </w:tcPr>
          <w:p w14:paraId="7ABF9341">
            <w:r>
              <w:t>语言范围</w:t>
            </w:r>
          </w:p>
        </w:tc>
        <w:tc>
          <w:tcPr>
            <w:tcW w:w="1560" w:type="dxa"/>
          </w:tcPr>
          <w:p w14:paraId="650EDECD">
            <w:r>
              <w:t>English / 中文 / Deutsch</w:t>
            </w:r>
          </w:p>
        </w:tc>
      </w:tr>
      <w:tr w14:paraId="5084D1D2">
        <w:trPr>
          <w:jc w:val="center"/>
        </w:trPr>
        <w:tc>
          <w:tcPr>
            <w:tcW w:w="1560" w:type="dxa"/>
          </w:tcPr>
          <w:p w14:paraId="420DE365">
            <w:r>
              <w:t>上线目标</w:t>
            </w:r>
          </w:p>
        </w:tc>
        <w:tc>
          <w:tcPr>
            <w:tcW w:w="1560" w:type="dxa"/>
          </w:tcPr>
          <w:p w14:paraId="4281A5EA">
            <w:r>
              <w:t>提升多语种问答效率</w:t>
            </w:r>
          </w:p>
        </w:tc>
        <w:tc>
          <w:tcPr>
            <w:tcW w:w="1560" w:type="dxa"/>
          </w:tcPr>
          <w:p w14:paraId="595E5BB8">
            <w:r>
              <w:t>数据来源</w:t>
            </w:r>
          </w:p>
        </w:tc>
        <w:tc>
          <w:tcPr>
            <w:tcW w:w="1560" w:type="dxa"/>
          </w:tcPr>
          <w:p w14:paraId="45C09F4C">
            <w:r>
              <w:t>公开政策文档</w:t>
            </w:r>
          </w:p>
        </w:tc>
        <w:tc>
          <w:tcPr>
            <w:tcW w:w="1560" w:type="dxa"/>
          </w:tcPr>
          <w:p w14:paraId="5CB0C088">
            <w:r>
              <w:t>影响对象</w:t>
            </w:r>
          </w:p>
        </w:tc>
        <w:tc>
          <w:tcPr>
            <w:tcW w:w="1560" w:type="dxa"/>
          </w:tcPr>
          <w:p w14:paraId="25BF4FE8">
            <w:r>
              <w:t>学生、教师、市民</w:t>
            </w:r>
          </w:p>
        </w:tc>
      </w:tr>
      <w:tr w14:paraId="354DCBB2">
        <w:trPr>
          <w:jc w:val="center"/>
        </w:trPr>
        <w:tc>
          <w:tcPr>
            <w:tcW w:w="1560" w:type="dxa"/>
          </w:tcPr>
          <w:p w14:paraId="538A9114">
            <w:r>
              <w:t>风险等级</w:t>
            </w:r>
          </w:p>
        </w:tc>
        <w:tc>
          <w:tcPr>
            <w:tcW w:w="1560" w:type="dxa"/>
          </w:tcPr>
          <w:p w14:paraId="575B91C5">
            <w:r>
              <w:t>□ 低  ■ 中  □ 高</w:t>
            </w:r>
          </w:p>
        </w:tc>
        <w:tc>
          <w:tcPr>
            <w:tcW w:w="1560" w:type="dxa"/>
          </w:tcPr>
          <w:p w14:paraId="27E073FC">
            <w:r>
              <w:t>人工复核</w:t>
            </w:r>
          </w:p>
        </w:tc>
        <w:tc>
          <w:tcPr>
            <w:tcW w:w="1560" w:type="dxa"/>
          </w:tcPr>
          <w:p w14:paraId="2EC1B9BF">
            <w:r>
              <w:t>■ 必需  □ 抽查</w:t>
            </w:r>
          </w:p>
        </w:tc>
        <w:tc>
          <w:tcPr>
            <w:tcW w:w="1560" w:type="dxa"/>
          </w:tcPr>
          <w:p w14:paraId="7325508D">
            <w:r>
              <w:t>保留期限</w:t>
            </w:r>
          </w:p>
        </w:tc>
        <w:tc>
          <w:tcPr>
            <w:tcW w:w="1560" w:type="dxa"/>
          </w:tcPr>
          <w:p w14:paraId="280F8A45">
            <w:r>
              <w:t>180 days</w:t>
            </w:r>
          </w:p>
        </w:tc>
      </w:tr>
      <w:tr w14:paraId="32A4F647">
        <w:trPr>
          <w:jc w:val="center"/>
        </w:trPr>
        <w:tc>
          <w:tcPr>
            <w:tcW w:w="3120" w:type="dxa"/>
            <w:gridSpan w:val="2"/>
          </w:tcPr>
          <w:p w14:paraId="08A68E0B">
            <w:r>
              <w:t>申请理由</w:t>
            </w:r>
          </w:p>
        </w:tc>
        <w:tc>
          <w:tcPr>
            <w:tcW w:w="6240" w:type="dxa"/>
            <w:gridSpan w:val="4"/>
          </w:tcPr>
          <w:p w14:paraId="156B90F0">
            <w:r>
              <w:t>本项目需要在受控环境中验证 LLM 对公共服务、教育辅导和知识检索的影响，并要求记录所有人工复核结论。</w:t>
            </w:r>
          </w:p>
        </w:tc>
      </w:tr>
      <w:tr w14:paraId="2EED9FB3">
        <w:trPr>
          <w:jc w:val="center"/>
        </w:trPr>
        <w:tc>
          <w:tcPr>
            <w:tcW w:w="3120" w:type="dxa"/>
            <w:gridSpan w:val="2"/>
          </w:tcPr>
          <w:p w14:paraId="0DD54F63">
            <w:r>
              <w:t>非标准承诺项</w:t>
            </w:r>
          </w:p>
        </w:tc>
        <w:tc>
          <w:tcPr>
            <w:tcW w:w="6240" w:type="dxa"/>
            <w:gridSpan w:val="4"/>
          </w:tcPr>
          <w:p w14:paraId="3BDE3D77">
            <w:r>
              <w:rPr>
                <w:rFonts w:hint="eastAsia" w:eastAsia="宋体"/>
                <w:lang w:eastAsia="zh-CN"/>
              </w:rPr>
              <w:t>□</w:t>
            </w:r>
            <w:r>
              <w:t xml:space="preserve"> 可完全自动决策    ■ 必须人工确认    ■ 必须提供申诉渠道    □ 可省略审计</w:t>
            </w:r>
          </w:p>
        </w:tc>
      </w:tr>
      <w:tr w14:paraId="5B17AF9C">
        <w:trPr>
          <w:jc w:val="center"/>
        </w:trPr>
        <w:tc>
          <w:tcPr>
            <w:tcW w:w="1560" w:type="dxa"/>
          </w:tcPr>
          <w:p w14:paraId="6F86BAF7">
            <w:r>
              <w:t>检查项 1</w:t>
            </w:r>
          </w:p>
        </w:tc>
        <w:tc>
          <w:tcPr>
            <w:tcW w:w="4680" w:type="dxa"/>
            <w:gridSpan w:val="3"/>
          </w:tcPr>
          <w:p w14:paraId="46920791">
            <w:r>
              <w:t>第 1 项：确认数据最小化、偏差监测、用户告知和退出机制。</w:t>
            </w:r>
          </w:p>
        </w:tc>
        <w:tc>
          <w:tcPr>
            <w:tcW w:w="1560" w:type="dxa"/>
          </w:tcPr>
          <w:p w14:paraId="1B119F7F">
            <w:r>
              <w:t>结果</w:t>
            </w:r>
          </w:p>
        </w:tc>
        <w:tc>
          <w:tcPr>
            <w:tcW w:w="1560" w:type="dxa"/>
          </w:tcPr>
          <w:p w14:paraId="007A9E4C">
            <w:r>
              <w:t>□ 通过  □ 需修订</w:t>
            </w:r>
          </w:p>
        </w:tc>
      </w:tr>
      <w:tr w14:paraId="0D3F8E0A">
        <w:trPr>
          <w:jc w:val="center"/>
        </w:trPr>
        <w:tc>
          <w:tcPr>
            <w:tcW w:w="1560" w:type="dxa"/>
          </w:tcPr>
          <w:p w14:paraId="71AAD553">
            <w:r>
              <w:t>检查项 2</w:t>
            </w:r>
          </w:p>
        </w:tc>
        <w:tc>
          <w:tcPr>
            <w:tcW w:w="4680" w:type="dxa"/>
            <w:gridSpan w:val="3"/>
          </w:tcPr>
          <w:p w14:paraId="2A161353">
            <w:r>
              <w:t>第 2 项：确认数据最小化、偏差监测、用户告知和退出机制。</w:t>
            </w:r>
          </w:p>
        </w:tc>
        <w:tc>
          <w:tcPr>
            <w:tcW w:w="1560" w:type="dxa"/>
          </w:tcPr>
          <w:p w14:paraId="2F5A60AC">
            <w:r>
              <w:t>结果</w:t>
            </w:r>
          </w:p>
        </w:tc>
        <w:tc>
          <w:tcPr>
            <w:tcW w:w="1560" w:type="dxa"/>
          </w:tcPr>
          <w:p w14:paraId="2AA394AF">
            <w:r>
              <w:t>□ 通过  □ 需修订</w:t>
            </w:r>
          </w:p>
        </w:tc>
      </w:tr>
      <w:tr w14:paraId="0948EE48">
        <w:trPr>
          <w:jc w:val="center"/>
        </w:trPr>
        <w:tc>
          <w:tcPr>
            <w:tcW w:w="1560" w:type="dxa"/>
          </w:tcPr>
          <w:p w14:paraId="300AB9AA">
            <w:r>
              <w:t>检查项 3</w:t>
            </w:r>
          </w:p>
        </w:tc>
        <w:tc>
          <w:tcPr>
            <w:tcW w:w="4680" w:type="dxa"/>
            <w:gridSpan w:val="3"/>
          </w:tcPr>
          <w:p w14:paraId="3A723ACC">
            <w:r>
              <w:t>第 3 项：确认数据最小化、偏差监测、用户告知和退出机制。</w:t>
            </w:r>
          </w:p>
        </w:tc>
        <w:tc>
          <w:tcPr>
            <w:tcW w:w="1560" w:type="dxa"/>
          </w:tcPr>
          <w:p w14:paraId="5DD55856">
            <w:r>
              <w:t>结果</w:t>
            </w:r>
          </w:p>
        </w:tc>
        <w:tc>
          <w:tcPr>
            <w:tcW w:w="1560" w:type="dxa"/>
          </w:tcPr>
          <w:p w14:paraId="27B152DF">
            <w:r>
              <w:rPr>
                <w:rFonts w:hint="eastAsia" w:eastAsia="宋体"/>
                <w:lang w:eastAsia="zh-CN"/>
              </w:rPr>
              <w:t>□</w:t>
            </w:r>
            <w:r>
              <w:t xml:space="preserve"> 通过  □ 需修订</w:t>
            </w:r>
          </w:p>
        </w:tc>
      </w:tr>
      <w:tr w14:paraId="24931B31">
        <w:trPr>
          <w:jc w:val="center"/>
        </w:trPr>
        <w:tc>
          <w:tcPr>
            <w:tcW w:w="1560" w:type="dxa"/>
          </w:tcPr>
          <w:p w14:paraId="36468C47">
            <w:r>
              <w:t>检查项 4</w:t>
            </w:r>
          </w:p>
        </w:tc>
        <w:tc>
          <w:tcPr>
            <w:tcW w:w="4680" w:type="dxa"/>
            <w:gridSpan w:val="3"/>
          </w:tcPr>
          <w:p w14:paraId="22C7570C">
            <w:r>
              <w:t>第 4 项：确认数据最小化、偏差监测、用户告知和退出机制。</w:t>
            </w:r>
          </w:p>
        </w:tc>
        <w:tc>
          <w:tcPr>
            <w:tcW w:w="1560" w:type="dxa"/>
          </w:tcPr>
          <w:p w14:paraId="2FF1AE55">
            <w:r>
              <w:t>结果</w:t>
            </w:r>
          </w:p>
        </w:tc>
        <w:tc>
          <w:tcPr>
            <w:tcW w:w="1560" w:type="dxa"/>
          </w:tcPr>
          <w:p w14:paraId="514CF33C">
            <w:r>
              <w:t>□ 通过  □ 需修订</w:t>
            </w:r>
          </w:p>
        </w:tc>
      </w:tr>
      <w:tr w14:paraId="0F97ABF6">
        <w:trPr>
          <w:jc w:val="center"/>
        </w:trPr>
        <w:tc>
          <w:tcPr>
            <w:tcW w:w="1560" w:type="dxa"/>
          </w:tcPr>
          <w:p w14:paraId="5690868D">
            <w:r>
              <w:t>检查项 5</w:t>
            </w:r>
          </w:p>
        </w:tc>
        <w:tc>
          <w:tcPr>
            <w:tcW w:w="4680" w:type="dxa"/>
            <w:gridSpan w:val="3"/>
          </w:tcPr>
          <w:p w14:paraId="39DAAECA">
            <w:r>
              <w:t>第 5 项：确认数据最小化、偏差监测、用户告知和退出机制。</w:t>
            </w:r>
          </w:p>
        </w:tc>
        <w:tc>
          <w:tcPr>
            <w:tcW w:w="1560" w:type="dxa"/>
          </w:tcPr>
          <w:p w14:paraId="1B792CFA">
            <w:r>
              <w:t>结果</w:t>
            </w:r>
          </w:p>
        </w:tc>
        <w:tc>
          <w:tcPr>
            <w:tcW w:w="1560" w:type="dxa"/>
          </w:tcPr>
          <w:p w14:paraId="249D2F1D">
            <w:r>
              <w:t>□ 通过  □ 需修订</w:t>
            </w:r>
          </w:p>
        </w:tc>
      </w:tr>
      <w:tr w14:paraId="5F3FC24B">
        <w:trPr>
          <w:jc w:val="center"/>
        </w:trPr>
        <w:tc>
          <w:tcPr>
            <w:tcW w:w="1560" w:type="dxa"/>
          </w:tcPr>
          <w:p w14:paraId="4F0FC43B">
            <w:r>
              <w:t>检查项 6</w:t>
            </w:r>
          </w:p>
        </w:tc>
        <w:tc>
          <w:tcPr>
            <w:tcW w:w="4680" w:type="dxa"/>
            <w:gridSpan w:val="3"/>
          </w:tcPr>
          <w:p w14:paraId="293367E0">
            <w:r>
              <w:t>第 6 项：确认数据最小化、偏差监测、用户告知和退出机制。</w:t>
            </w:r>
          </w:p>
        </w:tc>
        <w:tc>
          <w:tcPr>
            <w:tcW w:w="1560" w:type="dxa"/>
          </w:tcPr>
          <w:p w14:paraId="7546B259">
            <w:r>
              <w:t>结果</w:t>
            </w:r>
          </w:p>
        </w:tc>
        <w:tc>
          <w:tcPr>
            <w:tcW w:w="1560" w:type="dxa"/>
          </w:tcPr>
          <w:p w14:paraId="00078C5F">
            <w:r>
              <w:t>□ 通过  □ 需修订</w:t>
            </w:r>
          </w:p>
        </w:tc>
      </w:tr>
      <w:tr w14:paraId="0C4BAC42">
        <w:trPr>
          <w:jc w:val="center"/>
        </w:trPr>
        <w:tc>
          <w:tcPr>
            <w:tcW w:w="1560" w:type="dxa"/>
          </w:tcPr>
          <w:p w14:paraId="7F669CE2">
            <w:r>
              <w:t>检查项 7</w:t>
            </w:r>
          </w:p>
        </w:tc>
        <w:tc>
          <w:tcPr>
            <w:tcW w:w="4680" w:type="dxa"/>
            <w:gridSpan w:val="3"/>
          </w:tcPr>
          <w:p w14:paraId="799EE6B4">
            <w:r>
              <w:t>第 7 项：确认数据最小化、偏差监测、用户告知和退出机制。</w:t>
            </w:r>
          </w:p>
        </w:tc>
        <w:tc>
          <w:tcPr>
            <w:tcW w:w="1560" w:type="dxa"/>
          </w:tcPr>
          <w:p w14:paraId="22D09E44">
            <w:r>
              <w:t>结果</w:t>
            </w:r>
          </w:p>
        </w:tc>
        <w:tc>
          <w:tcPr>
            <w:tcW w:w="1560" w:type="dxa"/>
          </w:tcPr>
          <w:p w14:paraId="1F40BD2B">
            <w:r>
              <w:t>□ 通过  □ 需修订</w:t>
            </w:r>
          </w:p>
        </w:tc>
      </w:tr>
      <w:tr w14:paraId="4BCF3599">
        <w:trPr>
          <w:jc w:val="center"/>
        </w:trPr>
        <w:tc>
          <w:tcPr>
            <w:tcW w:w="1560" w:type="dxa"/>
          </w:tcPr>
          <w:p w14:paraId="7210ADEC">
            <w:r>
              <w:t>检查项 8</w:t>
            </w:r>
          </w:p>
        </w:tc>
        <w:tc>
          <w:tcPr>
            <w:tcW w:w="4680" w:type="dxa"/>
            <w:gridSpan w:val="3"/>
          </w:tcPr>
          <w:p w14:paraId="00A88A59">
            <w:r>
              <w:t>第 8 项：确认数据最小化、偏差监测、用户告知和退出机制。</w:t>
            </w:r>
          </w:p>
        </w:tc>
        <w:tc>
          <w:tcPr>
            <w:tcW w:w="1560" w:type="dxa"/>
          </w:tcPr>
          <w:p w14:paraId="6630BD13">
            <w:r>
              <w:t>结果</w:t>
            </w:r>
          </w:p>
        </w:tc>
        <w:tc>
          <w:tcPr>
            <w:tcW w:w="1560" w:type="dxa"/>
          </w:tcPr>
          <w:p w14:paraId="0BFEE393">
            <w:r>
              <w:t>□ 通过  □ 需修订</w:t>
            </w:r>
          </w:p>
        </w:tc>
      </w:tr>
      <w:tr w14:paraId="78D6EB91">
        <w:trPr>
          <w:jc w:val="center"/>
        </w:trPr>
        <w:tc>
          <w:tcPr>
            <w:tcW w:w="1560" w:type="dxa"/>
          </w:tcPr>
          <w:p w14:paraId="6D202519">
            <w:r>
              <w:t>检查项 9</w:t>
            </w:r>
          </w:p>
        </w:tc>
        <w:tc>
          <w:tcPr>
            <w:tcW w:w="4680" w:type="dxa"/>
            <w:gridSpan w:val="3"/>
          </w:tcPr>
          <w:p w14:paraId="70860274">
            <w:r>
              <w:t>第 9 项：确认数据最小化、偏差监测、用户告知和退出机制。</w:t>
            </w:r>
          </w:p>
        </w:tc>
        <w:tc>
          <w:tcPr>
            <w:tcW w:w="1560" w:type="dxa"/>
          </w:tcPr>
          <w:p w14:paraId="36CF3071">
            <w:r>
              <w:t>结果</w:t>
            </w:r>
          </w:p>
        </w:tc>
        <w:tc>
          <w:tcPr>
            <w:tcW w:w="1560" w:type="dxa"/>
          </w:tcPr>
          <w:p w14:paraId="679A4038">
            <w:r>
              <w:t>□ 通过  □ 需修订</w:t>
            </w:r>
          </w:p>
        </w:tc>
      </w:tr>
      <w:tr w14:paraId="3547FEE4">
        <w:trPr>
          <w:jc w:val="center"/>
        </w:trPr>
        <w:tc>
          <w:tcPr>
            <w:tcW w:w="1560" w:type="dxa"/>
          </w:tcPr>
          <w:p w14:paraId="5152EB89">
            <w:r>
              <w:t>检查项 10</w:t>
            </w:r>
          </w:p>
        </w:tc>
        <w:tc>
          <w:tcPr>
            <w:tcW w:w="4680" w:type="dxa"/>
            <w:gridSpan w:val="3"/>
          </w:tcPr>
          <w:p w14:paraId="2D4DA273">
            <w:r>
              <w:t>第 10 项：确认数据最小化、偏差监测、用户告知和退出机制。</w:t>
            </w:r>
          </w:p>
        </w:tc>
        <w:tc>
          <w:tcPr>
            <w:tcW w:w="1560" w:type="dxa"/>
          </w:tcPr>
          <w:p w14:paraId="310E6F62">
            <w:r>
              <w:t>结果</w:t>
            </w:r>
          </w:p>
        </w:tc>
        <w:tc>
          <w:tcPr>
            <w:tcW w:w="1560" w:type="dxa"/>
          </w:tcPr>
          <w:p w14:paraId="6ECA9915">
            <w:r>
              <w:t>□ 通过  □ 需修订</w:t>
            </w:r>
          </w:p>
        </w:tc>
      </w:tr>
      <w:tr w14:paraId="76A3B70A">
        <w:trPr>
          <w:jc w:val="center"/>
        </w:trPr>
        <w:tc>
          <w:tcPr>
            <w:tcW w:w="1560" w:type="dxa"/>
          </w:tcPr>
          <w:p w14:paraId="3E079CF0">
            <w:r>
              <w:t>检查项 11</w:t>
            </w:r>
          </w:p>
        </w:tc>
        <w:tc>
          <w:tcPr>
            <w:tcW w:w="4680" w:type="dxa"/>
            <w:gridSpan w:val="3"/>
          </w:tcPr>
          <w:p w14:paraId="472B3F87">
            <w:r>
              <w:t>第 11 项：确认数据最小化、偏差监测、用户告知和退出机制。</w:t>
            </w:r>
          </w:p>
        </w:tc>
        <w:tc>
          <w:tcPr>
            <w:tcW w:w="1560" w:type="dxa"/>
          </w:tcPr>
          <w:p w14:paraId="627D3670">
            <w:r>
              <w:t>结果</w:t>
            </w:r>
          </w:p>
        </w:tc>
        <w:tc>
          <w:tcPr>
            <w:tcW w:w="1560" w:type="dxa"/>
          </w:tcPr>
          <w:p w14:paraId="32D42ED7">
            <w:r>
              <w:t>□ 通过  □ 需修订</w:t>
            </w:r>
          </w:p>
        </w:tc>
      </w:tr>
      <w:tr w14:paraId="258183BE">
        <w:trPr>
          <w:jc w:val="center"/>
        </w:trPr>
        <w:tc>
          <w:tcPr>
            <w:tcW w:w="1560" w:type="dxa"/>
          </w:tcPr>
          <w:p w14:paraId="5A7810CD">
            <w:r>
              <w:t>检查项 12</w:t>
            </w:r>
          </w:p>
        </w:tc>
        <w:tc>
          <w:tcPr>
            <w:tcW w:w="4680" w:type="dxa"/>
            <w:gridSpan w:val="3"/>
          </w:tcPr>
          <w:p w14:paraId="62FC517F">
            <w:r>
              <w:t>第 12 项：确认数据最小化、偏差监测、用户告知和退出机制。</w:t>
            </w:r>
          </w:p>
        </w:tc>
        <w:tc>
          <w:tcPr>
            <w:tcW w:w="1560" w:type="dxa"/>
          </w:tcPr>
          <w:p w14:paraId="79A0E938">
            <w:r>
              <w:t>结果</w:t>
            </w:r>
          </w:p>
        </w:tc>
        <w:tc>
          <w:tcPr>
            <w:tcW w:w="1560" w:type="dxa"/>
          </w:tcPr>
          <w:p w14:paraId="383C3800">
            <w:r>
              <w:t>□ 通过  □ 需修订</w:t>
            </w:r>
          </w:p>
        </w:tc>
      </w:tr>
      <w:tr w14:paraId="209EAF5C">
        <w:trPr>
          <w:jc w:val="center"/>
        </w:trPr>
        <w:tc>
          <w:tcPr>
            <w:tcW w:w="1560" w:type="dxa"/>
          </w:tcPr>
          <w:p w14:paraId="28C94015">
            <w:r>
              <w:t>检查项 13</w:t>
            </w:r>
          </w:p>
        </w:tc>
        <w:tc>
          <w:tcPr>
            <w:tcW w:w="4680" w:type="dxa"/>
            <w:gridSpan w:val="3"/>
          </w:tcPr>
          <w:p w14:paraId="6C003D82">
            <w:r>
              <w:t>第 13 项：确认数据最小化、偏差监测、用户告知和退出机制。</w:t>
            </w:r>
          </w:p>
        </w:tc>
        <w:tc>
          <w:tcPr>
            <w:tcW w:w="1560" w:type="dxa"/>
          </w:tcPr>
          <w:p w14:paraId="4DF5C131">
            <w:r>
              <w:t>结果</w:t>
            </w:r>
          </w:p>
        </w:tc>
        <w:tc>
          <w:tcPr>
            <w:tcW w:w="1560" w:type="dxa"/>
          </w:tcPr>
          <w:p w14:paraId="7F45D888">
            <w:r>
              <w:t xml:space="preserve">□ 通过  </w:t>
            </w:r>
            <w:r>
              <w:rPr>
                <w:rFonts w:hint="eastAsia" w:eastAsia="宋体"/>
                <w:lang w:eastAsia="zh-CN"/>
              </w:rPr>
              <w:t>☑</w:t>
            </w:r>
            <w:r>
              <w:t xml:space="preserve"> 需修订</w:t>
            </w:r>
          </w:p>
        </w:tc>
      </w:tr>
      <w:tr w14:paraId="798A62EF">
        <w:trPr>
          <w:jc w:val="center"/>
        </w:trPr>
        <w:tc>
          <w:tcPr>
            <w:tcW w:w="1560" w:type="dxa"/>
          </w:tcPr>
          <w:p w14:paraId="43E19804">
            <w:r>
              <w:t>检查项 14</w:t>
            </w:r>
          </w:p>
        </w:tc>
        <w:tc>
          <w:tcPr>
            <w:tcW w:w="4680" w:type="dxa"/>
            <w:gridSpan w:val="3"/>
          </w:tcPr>
          <w:p w14:paraId="5BBF6D87">
            <w:r>
              <w:t>第 14 项：确认数据最小化、偏差监测、用户告知和退出机制。</w:t>
            </w:r>
          </w:p>
        </w:tc>
        <w:tc>
          <w:tcPr>
            <w:tcW w:w="1560" w:type="dxa"/>
          </w:tcPr>
          <w:p w14:paraId="0390C979">
            <w:r>
              <w:t>结果</w:t>
            </w:r>
          </w:p>
        </w:tc>
        <w:tc>
          <w:tcPr>
            <w:tcW w:w="1560" w:type="dxa"/>
          </w:tcPr>
          <w:p w14:paraId="11533E6B">
            <w:r>
              <w:rPr>
                <w:rFonts w:hint="eastAsia" w:eastAsia="宋体"/>
                <w:lang w:eastAsia="zh-CN"/>
              </w:rPr>
              <w:t>☑</w:t>
            </w:r>
            <w:r>
              <w:t xml:space="preserve"> 通过  □ 需修订</w:t>
            </w:r>
          </w:p>
        </w:tc>
      </w:tr>
      <w:tr w14:paraId="1D2A10CD">
        <w:trPr>
          <w:jc w:val="center"/>
        </w:trPr>
        <w:tc>
          <w:tcPr>
            <w:tcW w:w="1560" w:type="dxa"/>
          </w:tcPr>
          <w:p w14:paraId="33ECA59A">
            <w:r>
              <w:t>检查项 15</w:t>
            </w:r>
          </w:p>
        </w:tc>
        <w:tc>
          <w:tcPr>
            <w:tcW w:w="4680" w:type="dxa"/>
            <w:gridSpan w:val="3"/>
          </w:tcPr>
          <w:p w14:paraId="5E9BD09E">
            <w:r>
              <w:t>第 15 项：确认数据最小化、偏差监测、用户告知和退出机制。</w:t>
            </w:r>
          </w:p>
        </w:tc>
        <w:tc>
          <w:tcPr>
            <w:tcW w:w="1560" w:type="dxa"/>
          </w:tcPr>
          <w:p w14:paraId="56BE53F8">
            <w:r>
              <w:t>结果</w:t>
            </w:r>
          </w:p>
        </w:tc>
        <w:tc>
          <w:tcPr>
            <w:tcW w:w="1560" w:type="dxa"/>
          </w:tcPr>
          <w:p w14:paraId="46841DD7">
            <w:r>
              <w:t>□ 通过  □ 需修订</w:t>
            </w:r>
          </w:p>
        </w:tc>
      </w:tr>
      <w:tr w14:paraId="1BF248E3">
        <w:trPr>
          <w:jc w:val="center"/>
        </w:trPr>
        <w:tc>
          <w:tcPr>
            <w:tcW w:w="1560" w:type="dxa"/>
          </w:tcPr>
          <w:p w14:paraId="39B53369">
            <w:r>
              <w:t>检查项 16</w:t>
            </w:r>
          </w:p>
        </w:tc>
        <w:tc>
          <w:tcPr>
            <w:tcW w:w="4680" w:type="dxa"/>
            <w:gridSpan w:val="3"/>
          </w:tcPr>
          <w:p w14:paraId="2A9A557C">
            <w:r>
              <w:t>第 16 项：确认数据最小化、偏差监测、用户告知和退出机制。</w:t>
            </w:r>
          </w:p>
        </w:tc>
        <w:tc>
          <w:tcPr>
            <w:tcW w:w="1560" w:type="dxa"/>
          </w:tcPr>
          <w:p w14:paraId="05E7D3BF">
            <w:r>
              <w:t>结果</w:t>
            </w:r>
          </w:p>
        </w:tc>
        <w:tc>
          <w:tcPr>
            <w:tcW w:w="1560" w:type="dxa"/>
          </w:tcPr>
          <w:p w14:paraId="47E87E64">
            <w:r>
              <w:t>□ 通过  □ 需修订</w:t>
            </w:r>
          </w:p>
        </w:tc>
      </w:tr>
      <w:tr w14:paraId="48F6DB03">
        <w:trPr>
          <w:jc w:val="center"/>
        </w:trPr>
        <w:tc>
          <w:tcPr>
            <w:tcW w:w="1560" w:type="dxa"/>
          </w:tcPr>
          <w:p w14:paraId="07875B9E">
            <w:r>
              <w:t>检查项 17</w:t>
            </w:r>
          </w:p>
        </w:tc>
        <w:tc>
          <w:tcPr>
            <w:tcW w:w="4680" w:type="dxa"/>
            <w:gridSpan w:val="3"/>
          </w:tcPr>
          <w:p w14:paraId="70266DB5">
            <w:r>
              <w:t>第 17 项：确认数据最小化、偏差监测、用户告知和退出机制。</w:t>
            </w:r>
          </w:p>
        </w:tc>
        <w:tc>
          <w:tcPr>
            <w:tcW w:w="1560" w:type="dxa"/>
          </w:tcPr>
          <w:p w14:paraId="6081F4D1">
            <w:r>
              <w:t>结果</w:t>
            </w:r>
          </w:p>
        </w:tc>
        <w:tc>
          <w:tcPr>
            <w:tcW w:w="1560" w:type="dxa"/>
          </w:tcPr>
          <w:p w14:paraId="17E0A9F8">
            <w:r>
              <w:t>□ 通过  □ 需修订</w:t>
            </w:r>
          </w:p>
        </w:tc>
      </w:tr>
      <w:tr w14:paraId="12A1327E">
        <w:trPr>
          <w:jc w:val="center"/>
        </w:trPr>
        <w:tc>
          <w:tcPr>
            <w:tcW w:w="1560" w:type="dxa"/>
          </w:tcPr>
          <w:p w14:paraId="042619DD">
            <w:r>
              <w:t>检查项 18</w:t>
            </w:r>
          </w:p>
        </w:tc>
        <w:tc>
          <w:tcPr>
            <w:tcW w:w="4680" w:type="dxa"/>
            <w:gridSpan w:val="3"/>
          </w:tcPr>
          <w:p w14:paraId="48D5C9CA">
            <w:r>
              <w:t>第 18 项：确认数据最小化、偏差监测、用户告知和退出机制。</w:t>
            </w:r>
          </w:p>
        </w:tc>
        <w:tc>
          <w:tcPr>
            <w:tcW w:w="1560" w:type="dxa"/>
          </w:tcPr>
          <w:p w14:paraId="066EEEBE">
            <w:r>
              <w:t>结果</w:t>
            </w:r>
          </w:p>
        </w:tc>
        <w:tc>
          <w:tcPr>
            <w:tcW w:w="1560" w:type="dxa"/>
          </w:tcPr>
          <w:p w14:paraId="5150DCFE">
            <w:r>
              <w:rPr>
                <w:rFonts w:hint="eastAsia" w:eastAsia="宋体"/>
                <w:lang w:eastAsia="zh-CN"/>
              </w:rPr>
              <w:t>☑</w:t>
            </w:r>
            <w:r>
              <w:t xml:space="preserve"> 通过  </w:t>
            </w:r>
            <w:r>
              <w:rPr>
                <w:rFonts w:hint="eastAsia" w:eastAsia="宋体"/>
                <w:lang w:eastAsia="zh-CN"/>
              </w:rPr>
              <w:t>☑</w:t>
            </w:r>
            <w:r>
              <w:t xml:space="preserve"> 需修订</w:t>
            </w:r>
          </w:p>
        </w:tc>
      </w:tr>
      <w:tr w14:paraId="0AFA9D1B">
        <w:trPr>
          <w:jc w:val="center"/>
        </w:trPr>
        <w:tc>
          <w:tcPr>
            <w:tcW w:w="1560" w:type="dxa"/>
          </w:tcPr>
          <w:p w14:paraId="53C6E6D7">
            <w:r>
              <w:t>检查项 19</w:t>
            </w:r>
          </w:p>
        </w:tc>
        <w:tc>
          <w:tcPr>
            <w:tcW w:w="4680" w:type="dxa"/>
            <w:gridSpan w:val="3"/>
          </w:tcPr>
          <w:p w14:paraId="334711A4">
            <w:r>
              <w:t>第 19 项：确认数据最小化、偏差监测、用户告知和退出机制。</w:t>
            </w:r>
          </w:p>
        </w:tc>
        <w:tc>
          <w:tcPr>
            <w:tcW w:w="1560" w:type="dxa"/>
          </w:tcPr>
          <w:p w14:paraId="0ADE0D82">
            <w:r>
              <w:t>结果</w:t>
            </w:r>
          </w:p>
        </w:tc>
        <w:tc>
          <w:tcPr>
            <w:tcW w:w="1560" w:type="dxa"/>
          </w:tcPr>
          <w:p w14:paraId="025258F6">
            <w:r>
              <w:t>□ 通过  □ 需修订</w:t>
            </w:r>
          </w:p>
        </w:tc>
      </w:tr>
      <w:tr w14:paraId="1F86FA32">
        <w:trPr>
          <w:jc w:val="center"/>
        </w:trPr>
        <w:tc>
          <w:tcPr>
            <w:tcW w:w="1560" w:type="dxa"/>
          </w:tcPr>
          <w:p w14:paraId="1C28EA57">
            <w:r>
              <w:t>检查项 20</w:t>
            </w:r>
          </w:p>
        </w:tc>
        <w:tc>
          <w:tcPr>
            <w:tcW w:w="4680" w:type="dxa"/>
            <w:gridSpan w:val="3"/>
          </w:tcPr>
          <w:p w14:paraId="2F0616F8">
            <w:r>
              <w:t>第 20 项：确认数据最小化、偏差监测、用户告知和退出机制。</w:t>
            </w:r>
          </w:p>
        </w:tc>
        <w:tc>
          <w:tcPr>
            <w:tcW w:w="1560" w:type="dxa"/>
          </w:tcPr>
          <w:p w14:paraId="3E60BB79">
            <w:r>
              <w:t>结果</w:t>
            </w:r>
          </w:p>
        </w:tc>
        <w:tc>
          <w:tcPr>
            <w:tcW w:w="1560" w:type="dxa"/>
          </w:tcPr>
          <w:p w14:paraId="57D42563">
            <w:r>
              <w:t>□ 通过  □ 需修订</w:t>
            </w:r>
          </w:p>
        </w:tc>
      </w:tr>
      <w:tr w14:paraId="090FA079">
        <w:trPr>
          <w:jc w:val="center"/>
        </w:trPr>
        <w:tc>
          <w:tcPr>
            <w:tcW w:w="1560" w:type="dxa"/>
          </w:tcPr>
          <w:p w14:paraId="39F1FB75">
            <w:r>
              <w:t>检查项 21</w:t>
            </w:r>
          </w:p>
        </w:tc>
        <w:tc>
          <w:tcPr>
            <w:tcW w:w="4680" w:type="dxa"/>
            <w:gridSpan w:val="3"/>
          </w:tcPr>
          <w:p w14:paraId="5EB83604">
            <w:r>
              <w:t>第 21 项：确认数据最小化、偏差监测、用户告知和退出机制。</w:t>
            </w:r>
          </w:p>
        </w:tc>
        <w:tc>
          <w:tcPr>
            <w:tcW w:w="1560" w:type="dxa"/>
          </w:tcPr>
          <w:p w14:paraId="41BB4A3D">
            <w:r>
              <w:t>结果</w:t>
            </w:r>
          </w:p>
        </w:tc>
        <w:tc>
          <w:tcPr>
            <w:tcW w:w="1560" w:type="dxa"/>
          </w:tcPr>
          <w:p w14:paraId="6AFDDF05">
            <w:r>
              <w:t>□ 通过  □ 需修订</w:t>
            </w:r>
          </w:p>
        </w:tc>
      </w:tr>
      <w:tr w14:paraId="42484D64">
        <w:trPr>
          <w:jc w:val="center"/>
        </w:trPr>
        <w:tc>
          <w:tcPr>
            <w:tcW w:w="1560" w:type="dxa"/>
          </w:tcPr>
          <w:p w14:paraId="109196FC">
            <w:r>
              <w:t>检查项 22</w:t>
            </w:r>
          </w:p>
        </w:tc>
        <w:tc>
          <w:tcPr>
            <w:tcW w:w="4680" w:type="dxa"/>
            <w:gridSpan w:val="3"/>
          </w:tcPr>
          <w:p w14:paraId="7DB96A66">
            <w:r>
              <w:t>第 22 项：确认数据最小化、偏差监测、用户告知和退出机制。</w:t>
            </w:r>
          </w:p>
        </w:tc>
        <w:tc>
          <w:tcPr>
            <w:tcW w:w="1560" w:type="dxa"/>
          </w:tcPr>
          <w:p w14:paraId="12F22B75">
            <w:r>
              <w:t>结果</w:t>
            </w:r>
          </w:p>
        </w:tc>
        <w:tc>
          <w:tcPr>
            <w:tcW w:w="1560" w:type="dxa"/>
          </w:tcPr>
          <w:p w14:paraId="0C1E8987">
            <w:r>
              <w:t>□ 通过  □ 需修订</w:t>
            </w:r>
          </w:p>
        </w:tc>
      </w:tr>
      <w:tr w14:paraId="19A6CFA9">
        <w:trPr>
          <w:jc w:val="center"/>
        </w:trPr>
        <w:tc>
          <w:tcPr>
            <w:tcW w:w="1560" w:type="dxa"/>
          </w:tcPr>
          <w:p w14:paraId="0588110C">
            <w:r>
              <w:t>检查项 23</w:t>
            </w:r>
          </w:p>
        </w:tc>
        <w:tc>
          <w:tcPr>
            <w:tcW w:w="4680" w:type="dxa"/>
            <w:gridSpan w:val="3"/>
          </w:tcPr>
          <w:p w14:paraId="093E2AA4">
            <w:r>
              <w:t>第 23 项：确认数据最小化、偏差监测、用户告知和退出机制。</w:t>
            </w:r>
          </w:p>
        </w:tc>
        <w:tc>
          <w:tcPr>
            <w:tcW w:w="1560" w:type="dxa"/>
          </w:tcPr>
          <w:p w14:paraId="4D802111">
            <w:r>
              <w:t>结果</w:t>
            </w:r>
          </w:p>
        </w:tc>
        <w:tc>
          <w:tcPr>
            <w:tcW w:w="1560" w:type="dxa"/>
          </w:tcPr>
          <w:p w14:paraId="11859B5D">
            <w:r>
              <w:t xml:space="preserve">□ 通过  </w:t>
            </w:r>
            <w:r>
              <w:rPr>
                <w:rFonts w:hint="eastAsia" w:eastAsia="宋体"/>
                <w:lang w:eastAsia="zh-CN"/>
              </w:rPr>
              <w:t>☑</w:t>
            </w:r>
            <w:r>
              <w:t xml:space="preserve"> 需修订</w:t>
            </w:r>
          </w:p>
        </w:tc>
      </w:tr>
      <w:tr w14:paraId="267297FF">
        <w:trPr>
          <w:jc w:val="center"/>
        </w:trPr>
        <w:tc>
          <w:tcPr>
            <w:tcW w:w="1560" w:type="dxa"/>
          </w:tcPr>
          <w:p w14:paraId="204C736C">
            <w:r>
              <w:t>检查项 24</w:t>
            </w:r>
          </w:p>
        </w:tc>
        <w:tc>
          <w:tcPr>
            <w:tcW w:w="4680" w:type="dxa"/>
            <w:gridSpan w:val="3"/>
          </w:tcPr>
          <w:p w14:paraId="14358235">
            <w:r>
              <w:t>第 24 项：确认数据最小化、偏差监测、用户告知和退出机制。</w:t>
            </w:r>
          </w:p>
        </w:tc>
        <w:tc>
          <w:tcPr>
            <w:tcW w:w="1560" w:type="dxa"/>
          </w:tcPr>
          <w:p w14:paraId="48710F62">
            <w:r>
              <w:t>结果</w:t>
            </w:r>
          </w:p>
        </w:tc>
        <w:tc>
          <w:tcPr>
            <w:tcW w:w="1560" w:type="dxa"/>
          </w:tcPr>
          <w:p w14:paraId="077DF797">
            <w:r>
              <w:rPr>
                <w:rFonts w:hint="eastAsia" w:eastAsia="宋体"/>
                <w:lang w:eastAsia="zh-CN"/>
              </w:rPr>
              <w:t>☑</w:t>
            </w:r>
            <w:r>
              <w:t xml:space="preserve"> 通过  □ 需修订</w:t>
            </w:r>
          </w:p>
        </w:tc>
      </w:tr>
      <w:tr w14:paraId="4D9D509E">
        <w:trPr>
          <w:jc w:val="center"/>
        </w:trPr>
        <w:tc>
          <w:tcPr>
            <w:tcW w:w="1560" w:type="dxa"/>
          </w:tcPr>
          <w:p w14:paraId="380C68BC">
            <w:r>
              <w:t>检查项 25</w:t>
            </w:r>
          </w:p>
        </w:tc>
        <w:tc>
          <w:tcPr>
            <w:tcW w:w="4680" w:type="dxa"/>
            <w:gridSpan w:val="3"/>
          </w:tcPr>
          <w:p w14:paraId="62848A5F">
            <w:r>
              <w:t>第 25 项：确认数据最小化、偏差监测、用户告知和退出机制。</w:t>
            </w:r>
          </w:p>
        </w:tc>
        <w:tc>
          <w:tcPr>
            <w:tcW w:w="1560" w:type="dxa"/>
          </w:tcPr>
          <w:p w14:paraId="329AA0E7">
            <w:r>
              <w:t>结果</w:t>
            </w:r>
          </w:p>
        </w:tc>
        <w:tc>
          <w:tcPr>
            <w:tcW w:w="1560" w:type="dxa"/>
          </w:tcPr>
          <w:p w14:paraId="3337DBC5">
            <w:r>
              <w:t>□ 通过  □ 需修订</w:t>
            </w:r>
          </w:p>
        </w:tc>
      </w:tr>
      <w:tr w14:paraId="0EFCDBB8">
        <w:trPr>
          <w:jc w:val="center"/>
        </w:trPr>
        <w:tc>
          <w:tcPr>
            <w:tcW w:w="1560" w:type="dxa"/>
          </w:tcPr>
          <w:p w14:paraId="49BC707D">
            <w:r>
              <w:t>检查项 26</w:t>
            </w:r>
          </w:p>
        </w:tc>
        <w:tc>
          <w:tcPr>
            <w:tcW w:w="4680" w:type="dxa"/>
            <w:gridSpan w:val="3"/>
          </w:tcPr>
          <w:p w14:paraId="2E1F4A36">
            <w:r>
              <w:t>第 26 项：确认数据最小化、偏差监测、用户告知和退出机制。</w:t>
            </w:r>
          </w:p>
        </w:tc>
        <w:tc>
          <w:tcPr>
            <w:tcW w:w="1560" w:type="dxa"/>
          </w:tcPr>
          <w:p w14:paraId="6B2E81B0">
            <w:r>
              <w:t>结果</w:t>
            </w:r>
          </w:p>
        </w:tc>
        <w:tc>
          <w:tcPr>
            <w:tcW w:w="1560" w:type="dxa"/>
          </w:tcPr>
          <w:p w14:paraId="4FEA5B87">
            <w:r>
              <w:t>□ 通过  □ 需修订</w:t>
            </w:r>
          </w:p>
        </w:tc>
      </w:tr>
      <w:tr w14:paraId="1B62CF38">
        <w:trPr>
          <w:jc w:val="center"/>
        </w:trPr>
        <w:tc>
          <w:tcPr>
            <w:tcW w:w="1560" w:type="dxa"/>
          </w:tcPr>
          <w:p w14:paraId="516FC07D">
            <w:r>
              <w:t>检查项 27</w:t>
            </w:r>
          </w:p>
        </w:tc>
        <w:tc>
          <w:tcPr>
            <w:tcW w:w="4680" w:type="dxa"/>
            <w:gridSpan w:val="3"/>
          </w:tcPr>
          <w:p w14:paraId="5F0062C3">
            <w:r>
              <w:t>第 27 项：确认数据最小化、偏差监测、用户告知和退出机制。</w:t>
            </w:r>
          </w:p>
        </w:tc>
        <w:tc>
          <w:tcPr>
            <w:tcW w:w="1560" w:type="dxa"/>
          </w:tcPr>
          <w:p w14:paraId="1FECE37D">
            <w:r>
              <w:t>结果</w:t>
            </w:r>
          </w:p>
        </w:tc>
        <w:tc>
          <w:tcPr>
            <w:tcW w:w="1560" w:type="dxa"/>
          </w:tcPr>
          <w:p w14:paraId="12C94397">
            <w:r>
              <w:t>□ 通过  □ 需修订</w:t>
            </w:r>
          </w:p>
        </w:tc>
      </w:tr>
      <w:tr w14:paraId="37F31E68">
        <w:trPr>
          <w:jc w:val="center"/>
        </w:trPr>
        <w:tc>
          <w:tcPr>
            <w:tcW w:w="1560" w:type="dxa"/>
          </w:tcPr>
          <w:p w14:paraId="4B7C51FF">
            <w:r>
              <w:t>检查项 28</w:t>
            </w:r>
          </w:p>
        </w:tc>
        <w:tc>
          <w:tcPr>
            <w:tcW w:w="4680" w:type="dxa"/>
            <w:gridSpan w:val="3"/>
          </w:tcPr>
          <w:p w14:paraId="5CBDBC05">
            <w:r>
              <w:t>第 28 项：确认数据最小化、偏差监测、用户告知和退出机制。</w:t>
            </w:r>
          </w:p>
        </w:tc>
        <w:tc>
          <w:tcPr>
            <w:tcW w:w="1560" w:type="dxa"/>
          </w:tcPr>
          <w:p w14:paraId="17FE584B">
            <w:r>
              <w:t>结果</w:t>
            </w:r>
          </w:p>
        </w:tc>
        <w:tc>
          <w:tcPr>
            <w:tcW w:w="1560" w:type="dxa"/>
          </w:tcPr>
          <w:p w14:paraId="25E9F159">
            <w:r>
              <w:t>□ 通过  □ 需修订</w:t>
            </w:r>
          </w:p>
        </w:tc>
      </w:tr>
      <w:tr w14:paraId="02344893">
        <w:trPr>
          <w:jc w:val="center"/>
        </w:trPr>
        <w:tc>
          <w:tcPr>
            <w:tcW w:w="1560" w:type="dxa"/>
          </w:tcPr>
          <w:p w14:paraId="0F9645C6">
            <w:r>
              <w:t>检查项 29</w:t>
            </w:r>
          </w:p>
        </w:tc>
        <w:tc>
          <w:tcPr>
            <w:tcW w:w="4680" w:type="dxa"/>
            <w:gridSpan w:val="3"/>
          </w:tcPr>
          <w:p w14:paraId="1365CF26">
            <w:r>
              <w:t>第 29 项：确认数据最小化、偏差监测、用户告知和退出机制。</w:t>
            </w:r>
          </w:p>
        </w:tc>
        <w:tc>
          <w:tcPr>
            <w:tcW w:w="1560" w:type="dxa"/>
          </w:tcPr>
          <w:p w14:paraId="53F6B7D4">
            <w:r>
              <w:t>结果</w:t>
            </w:r>
          </w:p>
        </w:tc>
        <w:tc>
          <w:tcPr>
            <w:tcW w:w="1560" w:type="dxa"/>
          </w:tcPr>
          <w:p w14:paraId="0DC27636">
            <w:r>
              <w:t>□ 通过  □ 需修订</w:t>
            </w:r>
          </w:p>
        </w:tc>
      </w:tr>
      <w:tr w14:paraId="20DCF74F">
        <w:trPr>
          <w:jc w:val="center"/>
        </w:trPr>
        <w:tc>
          <w:tcPr>
            <w:tcW w:w="1560" w:type="dxa"/>
          </w:tcPr>
          <w:p w14:paraId="4997D0E4">
            <w:r>
              <w:t>检查项 30</w:t>
            </w:r>
          </w:p>
        </w:tc>
        <w:tc>
          <w:tcPr>
            <w:tcW w:w="4680" w:type="dxa"/>
            <w:gridSpan w:val="3"/>
          </w:tcPr>
          <w:p w14:paraId="0BD82ABF">
            <w:r>
              <w:t>第 30 项：确认数据最小化、偏差监测、用户告知和退出机制。</w:t>
            </w:r>
          </w:p>
        </w:tc>
        <w:tc>
          <w:tcPr>
            <w:tcW w:w="1560" w:type="dxa"/>
          </w:tcPr>
          <w:p w14:paraId="55FD27C7">
            <w:r>
              <w:t>结果</w:t>
            </w:r>
          </w:p>
        </w:tc>
        <w:tc>
          <w:tcPr>
            <w:tcW w:w="1560" w:type="dxa"/>
          </w:tcPr>
          <w:p w14:paraId="60A70B29">
            <w:r>
              <w:t>□ 通过  □ 需修订</w:t>
            </w:r>
          </w:p>
        </w:tc>
      </w:tr>
      <w:tr w14:paraId="314B5C0E">
        <w:trPr>
          <w:jc w:val="center"/>
        </w:trPr>
        <w:tc>
          <w:tcPr>
            <w:tcW w:w="1560" w:type="dxa"/>
          </w:tcPr>
          <w:p w14:paraId="5E3871E7">
            <w:r>
              <w:t>申请人</w:t>
            </w:r>
          </w:p>
        </w:tc>
        <w:tc>
          <w:tcPr>
            <w:tcW w:w="1560" w:type="dxa"/>
          </w:tcPr>
          <w:p w14:paraId="395FF597">
            <w:r>
              <w:t>________</w:t>
            </w:r>
          </w:p>
        </w:tc>
        <w:tc>
          <w:tcPr>
            <w:tcW w:w="1560" w:type="dxa"/>
          </w:tcPr>
          <w:p w14:paraId="78A4B5C7">
            <w:r>
              <w:t>审核人</w:t>
            </w:r>
          </w:p>
        </w:tc>
        <w:tc>
          <w:tcPr>
            <w:tcW w:w="1560" w:type="dxa"/>
          </w:tcPr>
          <w:p w14:paraId="1B626F14">
            <w:r>
              <w:t>________</w:t>
            </w:r>
          </w:p>
        </w:tc>
        <w:tc>
          <w:tcPr>
            <w:tcW w:w="1560" w:type="dxa"/>
          </w:tcPr>
          <w:p w14:paraId="3361E834">
            <w:r>
              <w:t>日期</w:t>
            </w:r>
          </w:p>
        </w:tc>
        <w:tc>
          <w:tcPr>
            <w:tcW w:w="1560" w:type="dxa"/>
          </w:tcPr>
          <w:p w14:paraId="6F8AD07F">
            <w:r>
              <w:t>2026-07-01</w:t>
            </w:r>
          </w:p>
        </w:tc>
      </w:tr>
    </w:tbl>
    <w:p w14:paraId="3EA0ED26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CC40698">
      <w:pPr>
        <w:pStyle w:val="3"/>
      </w:pPr>
      <w:bookmarkStart w:id="17" w:name="_Toc1505107420"/>
      <w:r>
        <w:t>3. Deutscher Teil: Gesellschaftliche Folgen von LLMs</w:t>
      </w:r>
      <w:bookmarkEnd w:id="17"/>
    </w:p>
    <w:p w14:paraId="636A1DFD">
      <w:r>
        <w:t>LLMs verändern Wissensarbeit, öffentliche Kommunikation und betriebliche Entscheidungen. Dieser Abschnitt prüft Umlaute, längere deutsche Sätze und die Verknüpfung mit der Fußzeilenmarke [F1].</w:t>
      </w:r>
    </w:p>
    <w:p w14:paraId="529A0DDA">
      <w:pPr>
        <w:pStyle w:val="4"/>
      </w:pPr>
      <w:bookmarkStart w:id="18" w:name="_Toc1130529927"/>
      <w:r>
        <w:t>3.1 Vertrauen, Transparenz und Verantwortung</w:t>
      </w:r>
      <w:bookmarkEnd w:id="18"/>
    </w:p>
    <w:p w14:paraId="01F8FD20">
      <w:r>
        <w:t>Vertrauen entsteht nicht allein durch höhere Genauigkeit, sondern durch nachvollziehbare Verfahren, Einspruchsmöglichkeiten und klare Zuständigkeit.</w:t>
      </w:r>
    </w:p>
    <w:p w14:paraId="3220E4A2">
      <w:pPr>
        <w:pStyle w:val="4"/>
      </w:pPr>
      <w:bookmarkStart w:id="19" w:name="_Toc2028658080"/>
      <w:r>
        <w:t>3.2 Single-line Complex Flowchart</w:t>
      </w:r>
      <w:bookmarkEnd w:id="19"/>
    </w:p>
    <w:p w14:paraId="63FFB1F3">
      <w:r>
        <w:drawing>
          <wp:inline distT="0" distB="0" distL="114300" distR="114300">
            <wp:extent cx="5760720" cy="3240405"/>
            <wp:effectExtent l="0" t="0" r="508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E39A">
      <w:pPr>
        <w:pStyle w:val="4"/>
      </w:pPr>
      <w:bookmarkStart w:id="20" w:name="_Toc58487141"/>
      <w:r>
        <w:t>3.3 Single-line Multiple Complex Flowcharts</w:t>
      </w:r>
      <w:bookmarkEnd w:id="20"/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0F8B349">
        <w:trPr>
          <w:jc w:val="center"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AC29">
            <w:pPr>
              <w:jc w:val="center"/>
            </w:pPr>
            <w:r>
              <w:drawing>
                <wp:inline distT="0" distB="0" distL="114300" distR="114300">
                  <wp:extent cx="2697480" cy="1517015"/>
                  <wp:effectExtent l="0" t="0" r="2032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FF85">
            <w:pPr>
              <w:jc w:val="center"/>
            </w:pPr>
            <w:r>
              <w:drawing>
                <wp:inline distT="0" distB="0" distL="114300" distR="114300">
                  <wp:extent cx="2697480" cy="1517015"/>
                  <wp:effectExtent l="0" t="0" r="2032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51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ED8EB">
      <w:pPr>
        <w:pStyle w:val="4"/>
      </w:pPr>
      <w:bookmarkStart w:id="21" w:name="_Toc1593352108"/>
      <w:r>
        <w:t>3.4 Abschließende Matrix</w:t>
      </w:r>
      <w:bookmarkEnd w:id="21"/>
    </w:p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E2C661E">
        <w:trPr>
          <w:jc w:val="center"/>
        </w:trPr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E278">
            <w:r>
              <w:t>Bereich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5C26">
            <w:r>
              <w:t>Nutzen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6E6C">
            <w:r>
              <w:t>Kontrolle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3130">
            <w:r>
              <w:t>Nachweis</w:t>
            </w:r>
          </w:p>
        </w:tc>
      </w:tr>
      <w:tr w14:paraId="094A2B8C">
        <w:trPr>
          <w:jc w:val="center"/>
        </w:trPr>
        <w:tc>
          <w:tcPr>
            <w:tcW w:w="2340" w:type="dxa"/>
          </w:tcPr>
          <w:p w14:paraId="3AB6E80F">
            <w:r>
              <w:t>Bildung</w:t>
            </w:r>
          </w:p>
        </w:tc>
        <w:tc>
          <w:tcPr>
            <w:tcW w:w="2340" w:type="dxa"/>
          </w:tcPr>
          <w:p w14:paraId="06B5D5FF">
            <w:r>
              <w:t>Individuelles Feedback</w:t>
            </w:r>
          </w:p>
        </w:tc>
        <w:tc>
          <w:tcPr>
            <w:tcW w:w="2340" w:type="dxa"/>
          </w:tcPr>
          <w:p w14:paraId="24073CFC">
            <w:r>
              <w:t>Lehrkraft bleibt verantwortlich</w:t>
            </w:r>
          </w:p>
        </w:tc>
        <w:tc>
          <w:tcPr>
            <w:tcW w:w="2340" w:type="dxa"/>
          </w:tcPr>
          <w:p w14:paraId="61A004E0">
            <w:r>
              <w:t>Lernfortschritt</w:t>
            </w:r>
          </w:p>
        </w:tc>
      </w:tr>
      <w:tr w14:paraId="42A7D7B4">
        <w:trPr>
          <w:jc w:val="center"/>
        </w:trPr>
        <w:tc>
          <w:tcPr>
            <w:tcW w:w="2340" w:type="dxa"/>
          </w:tcPr>
          <w:p w14:paraId="3324C91C">
            <w:r>
              <w:t>Arbeit</w:t>
            </w:r>
          </w:p>
        </w:tc>
        <w:tc>
          <w:tcPr>
            <w:tcW w:w="2340" w:type="dxa"/>
          </w:tcPr>
          <w:p w14:paraId="540DABE4">
            <w:r>
              <w:t>Schnellere Recherche</w:t>
            </w:r>
          </w:p>
        </w:tc>
        <w:tc>
          <w:tcPr>
            <w:tcW w:w="2340" w:type="dxa"/>
          </w:tcPr>
          <w:p w14:paraId="4936EA49">
            <w:r>
              <w:t>Mitbestimmung und Schulung</w:t>
            </w:r>
          </w:p>
        </w:tc>
        <w:tc>
          <w:tcPr>
            <w:tcW w:w="2340" w:type="dxa"/>
          </w:tcPr>
          <w:p w14:paraId="16D3290B">
            <w:r>
              <w:t>Auditprotokoll</w:t>
            </w:r>
          </w:p>
        </w:tc>
      </w:tr>
      <w:tr w14:paraId="589A9B3F">
        <w:trPr>
          <w:jc w:val="center"/>
        </w:trPr>
        <w:tc>
          <w:tcPr>
            <w:tcW w:w="2340" w:type="dxa"/>
          </w:tcPr>
          <w:p w14:paraId="6C459E53">
            <w:r>
              <w:t>Verwaltung</w:t>
            </w:r>
          </w:p>
        </w:tc>
        <w:tc>
          <w:tcPr>
            <w:tcW w:w="2340" w:type="dxa"/>
          </w:tcPr>
          <w:p w14:paraId="5BA08ED2">
            <w:r>
              <w:t>Mehrsprachiger Zugang</w:t>
            </w:r>
          </w:p>
        </w:tc>
        <w:tc>
          <w:tcPr>
            <w:tcW w:w="2340" w:type="dxa"/>
          </w:tcPr>
          <w:p w14:paraId="0942F006">
            <w:r>
              <w:t>Beschwerdeweg</w:t>
            </w:r>
          </w:p>
        </w:tc>
        <w:tc>
          <w:tcPr>
            <w:tcW w:w="2340" w:type="dxa"/>
          </w:tcPr>
          <w:p w14:paraId="69C7FEAE">
            <w:r>
              <w:t>Transparenzbericht</w:t>
            </w:r>
          </w:p>
        </w:tc>
      </w:tr>
    </w:tbl>
    <w:p w14:paraId="62163FE7"/>
    <w:p w14:paraId="1F5993E9"/>
    <w:p w14:paraId="6FC999F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0000" cy="3810000"/>
            <wp:effectExtent l="0" t="12700" r="0" b="12700"/>
            <wp:docPr id="18" name="图示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46767241"/>
    <w:tbl>
      <w:tblPr>
        <w:tblStyle w:val="3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B3A6AE9">
        <w:trPr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138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Test1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07A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Test2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14F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Test3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D66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Test4</w:t>
            </w:r>
          </w:p>
        </w:tc>
      </w:tr>
      <w:tr w14:paraId="6083CBB4">
        <w:trPr>
          <w:jc w:val="center"/>
        </w:trPr>
        <w:tc>
          <w:tcPr>
            <w:tcW w:w="2340" w:type="dxa"/>
          </w:tcPr>
          <w:p w14:paraId="4F8A00EB">
            <w:r>
              <w:t>Bildung</w:t>
            </w:r>
          </w:p>
        </w:tc>
        <w:tc>
          <w:tcPr>
            <w:tcW w:w="2340" w:type="dxa"/>
          </w:tcPr>
          <w:p w14:paraId="1D5CA8C0">
            <w:r>
              <w:t>Individuelles Feedback</w:t>
            </w:r>
          </w:p>
        </w:tc>
        <w:tc>
          <w:tcPr>
            <w:tcW w:w="2340" w:type="dxa"/>
          </w:tcPr>
          <w:p w14:paraId="7C5FDA4A">
            <w:r>
              <w:t>Lehrkraft bleibt verantwortlich</w:t>
            </w:r>
          </w:p>
        </w:tc>
        <w:tc>
          <w:tcPr>
            <w:tcW w:w="2340" w:type="dxa"/>
          </w:tcPr>
          <w:p w14:paraId="452A42F3">
            <w:r>
              <w:t>Lernfortschritt</w:t>
            </w:r>
          </w:p>
        </w:tc>
      </w:tr>
      <w:tr w14:paraId="4CB01CCB">
        <w:trPr>
          <w:jc w:val="center"/>
        </w:trPr>
        <w:tc>
          <w:tcPr>
            <w:tcW w:w="2340" w:type="dxa"/>
          </w:tcPr>
          <w:p w14:paraId="0922726E">
            <w:r>
              <w:t>Arbeit</w:t>
            </w:r>
          </w:p>
        </w:tc>
        <w:tc>
          <w:tcPr>
            <w:tcW w:w="2340" w:type="dxa"/>
          </w:tcPr>
          <w:p w14:paraId="359DBADD">
            <w:r>
              <w:t>Schnellere Recherche</w:t>
            </w:r>
          </w:p>
        </w:tc>
        <w:tc>
          <w:tcPr>
            <w:tcW w:w="2340" w:type="dxa"/>
          </w:tcPr>
          <w:p w14:paraId="48D08A04">
            <w:r>
              <w:t>Mitbestimmung und Schulung</w:t>
            </w:r>
          </w:p>
        </w:tc>
        <w:tc>
          <w:tcPr>
            <w:tcW w:w="2340" w:type="dxa"/>
          </w:tcPr>
          <w:p w14:paraId="3C029DF8">
            <w:r>
              <w:t>Auditprotokoll</w:t>
            </w:r>
          </w:p>
        </w:tc>
      </w:tr>
      <w:tr w14:paraId="5F2DC9FB">
        <w:trPr>
          <w:jc w:val="center"/>
        </w:trPr>
        <w:tc>
          <w:tcPr>
            <w:tcW w:w="2340" w:type="dxa"/>
          </w:tcPr>
          <w:p w14:paraId="5B3F50C0">
            <w:r>
              <w:t>Verwaltung</w:t>
            </w:r>
          </w:p>
        </w:tc>
        <w:tc>
          <w:tcPr>
            <w:tcW w:w="7020" w:type="dxa"/>
            <w:gridSpan w:val="3"/>
          </w:tcPr>
          <w:tbl>
            <w:tblPr>
              <w:tblStyle w:val="38"/>
              <w:tblW w:w="1616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40"/>
              <w:gridCol w:w="2340"/>
              <w:gridCol w:w="2340"/>
              <w:gridCol w:w="2340"/>
              <w:gridCol w:w="2268"/>
              <w:gridCol w:w="2268"/>
              <w:gridCol w:w="2268"/>
            </w:tblGrid>
            <w:tr w14:paraId="15F5F79A">
              <w:tc>
                <w:tcPr>
                  <w:tcW w:w="2340" w:type="dxa"/>
                  <w:shd w:val="clear" w:color="auto" w:fill="E8EEF5"/>
                  <w:vAlign w:val="center"/>
                </w:tcPr>
                <w:p w14:paraId="0EEF32C9">
                  <w:pPr>
                    <w:rPr>
                      <w:rFonts w:hint="default" w:ascii="Calibri" w:hAnsi="Calibri" w:eastAsia="宋体" w:cstheme="minorBidi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Nestest1</w:t>
                  </w:r>
                </w:p>
              </w:tc>
              <w:tc>
                <w:tcPr>
                  <w:tcW w:w="2340" w:type="dxa"/>
                  <w:shd w:val="clear" w:color="auto" w:fill="E8EEF5"/>
                  <w:vAlign w:val="center"/>
                </w:tcPr>
                <w:p w14:paraId="765A8BAF">
                  <w:pPr>
                    <w:rPr>
                      <w:rFonts w:hint="default"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Nestest2</w:t>
                  </w:r>
                </w:p>
              </w:tc>
              <w:tc>
                <w:tcPr>
                  <w:tcW w:w="2340" w:type="dxa"/>
                  <w:shd w:val="clear" w:color="auto" w:fill="E8EEF5"/>
                  <w:vAlign w:val="center"/>
                </w:tcPr>
                <w:p w14:paraId="4161B657">
                  <w:pPr>
                    <w:rPr>
                      <w:rFonts w:hint="default"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Nestest3</w:t>
                  </w:r>
                </w:p>
              </w:tc>
              <w:tc>
                <w:tcPr>
                  <w:tcW w:w="2340" w:type="dxa"/>
                  <w:shd w:val="clear" w:color="auto" w:fill="E8EEF5"/>
                  <w:vAlign w:val="center"/>
                </w:tcPr>
                <w:p w14:paraId="0C9A8C7D">
                  <w:pPr>
                    <w:rPr>
                      <w:rFonts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t>阈值</w:t>
                  </w:r>
                </w:p>
              </w:tc>
              <w:tc>
                <w:tcPr>
                  <w:tcW w:w="2268" w:type="dxa"/>
                </w:tcPr>
                <w:p w14:paraId="6D23CD98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107E6C99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74B6B340">
                  <w:pPr>
                    <w:rPr>
                      <w:vertAlign w:val="baseline"/>
                    </w:rPr>
                  </w:pPr>
                </w:p>
              </w:tc>
            </w:tr>
            <w:tr w14:paraId="643D2930">
              <w:tc>
                <w:tcPr>
                  <w:tcW w:w="2340" w:type="dxa"/>
                  <w:shd w:val="clear" w:color="auto" w:fill="auto"/>
                  <w:vAlign w:val="top"/>
                </w:tcPr>
                <w:p w14:paraId="5FF9F758">
                  <w:pPr>
                    <w:pStyle w:val="13"/>
                    <w:numPr>
                      <w:ilvl w:val="0"/>
                      <w:numId w:val="10"/>
                    </w:numPr>
                    <w:bidi w:val="0"/>
                    <w:ind w:left="720" w:leftChars="0" w:hanging="360" w:firstLineChars="0"/>
                    <w:rPr>
                      <w:lang w:val="en-US" w:eastAsia="en-US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Nestest4</w:t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64793AF8">
                  <w:pPr>
                    <w:jc w:val="center"/>
                    <w:rPr>
                      <w:rFonts w:hint="default" w:ascii="Calibri" w:hAnsi="Calibri" w:eastAsia="宋体" w:cstheme="minorBidi"/>
                      <w:sz w:val="22"/>
                      <w:szCs w:val="22"/>
                      <w:lang w:val="en-US" w:eastAsia="zh-CN" w:bidi="ar-SA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 w:eastAsia="宋体" w:cstheme="minorBidi"/>
                          <w:sz w:val="22"/>
                          <w:szCs w:val="22"/>
                          <w:lang w:val="en-US" w:eastAsia="zh-CN" w:bidi="ar-SA"/>
                        </w:rPr>
                        <m:t>E=m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 w:eastAsia="宋体" w:cstheme="minorBidi"/>
                              <w:i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 w:eastAsia="宋体" w:cstheme="minorBidi"/>
                              <w:sz w:val="22"/>
                              <w:szCs w:val="22"/>
                              <w:lang w:val="en-US" w:eastAsia="zh-CN" w:bidi="ar-SA"/>
                            </w:rPr>
                            <m:t>c</m:t>
                          </m:r>
                          <m:ctrlPr>
                            <w:rPr>
                              <w:rFonts w:hint="default" w:ascii="DejaVu Math TeX Gyre" w:hAnsi="DejaVu Math TeX Gyre" w:eastAsia="宋体" w:cstheme="minorBidi"/>
                              <w:i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 w:eastAsia="宋体" w:cstheme="minorBidi"/>
                              <w:sz w:val="22"/>
                              <w:szCs w:val="22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 w:cstheme="minorBidi"/>
                              <w:i/>
                              <w:sz w:val="22"/>
                              <w:szCs w:val="22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 w:eastAsia="宋体" w:cstheme="minorBidi"/>
                          <w:sz w:val="22"/>
                          <w:szCs w:val="22"/>
                          <w:lang w:val="en-US" w:eastAsia="zh-CN" w:bidi="ar-SA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6730A95E">
                  <w:pPr>
                    <w:jc w:val="left"/>
                    <w:rPr>
                      <w:rFonts w:hint="default"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Nestest7</w:t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49021BFD">
                  <w:pPr>
                    <w:jc w:val="center"/>
                    <w:rPr>
                      <w:rFonts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t>&lt; 0.08</w:t>
                  </w:r>
                </w:p>
              </w:tc>
              <w:tc>
                <w:tcPr>
                  <w:tcW w:w="2268" w:type="dxa"/>
                </w:tcPr>
                <w:p w14:paraId="31FF1834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05177E6F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01DC7B6C">
                  <w:pPr>
                    <w:rPr>
                      <w:vertAlign w:val="baseline"/>
                    </w:rPr>
                  </w:pPr>
                </w:p>
              </w:tc>
            </w:tr>
            <w:tr w14:paraId="2633D9C4">
              <w:tc>
                <w:tcPr>
                  <w:tcW w:w="2340" w:type="dxa"/>
                  <w:shd w:val="clear" w:color="auto" w:fill="auto"/>
                  <w:vAlign w:val="top"/>
                </w:tcPr>
                <w:p w14:paraId="0A26973C">
                  <w:pPr>
                    <w:pStyle w:val="13"/>
                    <w:numPr>
                      <w:ilvl w:val="0"/>
                      <w:numId w:val="10"/>
                    </w:numPr>
                    <w:bidi w:val="0"/>
                    <w:ind w:left="720" w:leftChars="0" w:hanging="360" w:firstLineChars="0"/>
                    <w:rPr>
                      <w:lang w:val="en-US" w:eastAsia="en-US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Nestest5</w:t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743C4A85">
                  <w:pPr>
                    <w:jc w:val="center"/>
                    <w:rPr>
                      <w:rFonts w:hint="eastAsia" w:ascii="Calibri" w:hAnsi="Calibri" w:eastAsia="宋体" w:cstheme="minorBidi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ascii="Calibri" w:hAnsi="Calibri" w:eastAsia="宋体" w:cstheme="minorBidi"/>
                      <w:sz w:val="22"/>
                      <w:szCs w:val="22"/>
                      <w:lang w:val="en-US" w:eastAsia="zh-CN" w:bidi="ar-SA"/>
                    </w:rPr>
                    <w:drawing>
                      <wp:inline distT="0" distB="0" distL="114300" distR="114300">
                        <wp:extent cx="1348105" cy="485775"/>
                        <wp:effectExtent l="0" t="0" r="23495" b="22225"/>
                        <wp:docPr id="17" name="图片 17" descr="DMD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图片 17" descr="DMD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8105" cy="48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305895B0">
                  <w:pPr>
                    <w:jc w:val="left"/>
                    <w:rPr>
                      <w:rFonts w:hint="default"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Nestest8</w:t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15F2697D">
                  <w:pPr>
                    <w:jc w:val="center"/>
                    <w:rPr>
                      <w:rFonts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t>&gt; 0.75</w:t>
                  </w:r>
                </w:p>
              </w:tc>
              <w:tc>
                <w:tcPr>
                  <w:tcW w:w="2268" w:type="dxa"/>
                </w:tcPr>
                <w:p w14:paraId="0F1A417B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78387BAA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2D8E97E0">
                  <w:pPr>
                    <w:rPr>
                      <w:vertAlign w:val="baseline"/>
                    </w:rPr>
                  </w:pPr>
                </w:p>
              </w:tc>
            </w:tr>
            <w:tr w14:paraId="5459E493">
              <w:tc>
                <w:tcPr>
                  <w:tcW w:w="2340" w:type="dxa"/>
                  <w:shd w:val="clear" w:color="auto" w:fill="auto"/>
                  <w:vAlign w:val="top"/>
                </w:tcPr>
                <w:p w14:paraId="26F2D8EA">
                  <w:pPr>
                    <w:pStyle w:val="13"/>
                    <w:numPr>
                      <w:ilvl w:val="0"/>
                      <w:numId w:val="10"/>
                    </w:numPr>
                    <w:bidi w:val="0"/>
                    <w:ind w:left="720" w:leftChars="0" w:hanging="360" w:firstLineChars="0"/>
                    <w:rPr>
                      <w:lang w:val="en-US" w:eastAsia="en-US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Nestest6</w:t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2F6EDF7C">
                  <w:pPr>
                    <w:jc w:val="center"/>
                    <w:rPr>
                      <w:rFonts w:hint="eastAsia" w:ascii="Calibri" w:hAnsi="Calibri" w:eastAsia="宋体" w:cstheme="minorBidi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ascii="Calibri" w:hAnsi="Calibri" w:eastAsia="宋体" w:cstheme="minorBidi"/>
                      <w:sz w:val="22"/>
                      <w:szCs w:val="22"/>
                      <w:lang w:val="en-US" w:eastAsia="zh-CN" w:bidi="ar-SA"/>
                    </w:rPr>
                    <w:drawing>
                      <wp:inline distT="0" distB="0" distL="114300" distR="114300">
                        <wp:extent cx="1346200" cy="1009650"/>
                        <wp:effectExtent l="0" t="12700" r="0" b="19050"/>
                        <wp:docPr id="19" name="图示 19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36" r:lo="rId37" r:qs="rId38" r:cs="rId39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7A545D6D">
                  <w:pPr>
                    <w:jc w:val="left"/>
                    <w:rPr>
                      <w:rFonts w:hint="default"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Nestest9</w:t>
                  </w:r>
                  <w:bookmarkStart w:id="22" w:name="_GoBack"/>
                  <w:bookmarkEnd w:id="22"/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37F791E8">
                  <w:pPr>
                    <w:jc w:val="center"/>
                    <w:rPr>
                      <w:rFonts w:ascii="Calibri" w:hAnsi="Calibri" w:eastAsiaTheme="minorEastAsia" w:cstheme="minorBidi"/>
                      <w:sz w:val="22"/>
                      <w:szCs w:val="22"/>
                      <w:lang w:val="en-US" w:eastAsia="en-US" w:bidi="ar-SA"/>
                    </w:rPr>
                  </w:pPr>
                  <w:r>
                    <w:t>&gt; 0</w:t>
                  </w:r>
                </w:p>
              </w:tc>
              <w:tc>
                <w:tcPr>
                  <w:tcW w:w="2268" w:type="dxa"/>
                </w:tcPr>
                <w:p w14:paraId="4D8EAFA4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76258A57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3CE32840">
                  <w:pPr>
                    <w:rPr>
                      <w:vertAlign w:val="baseline"/>
                    </w:rPr>
                  </w:pPr>
                </w:p>
              </w:tc>
            </w:tr>
            <w:tr w14:paraId="5EF2A60A">
              <w:tc>
                <w:tcPr>
                  <w:tcW w:w="2340" w:type="dxa"/>
                  <w:shd w:val="clear" w:color="auto" w:fill="auto"/>
                  <w:vAlign w:val="top"/>
                </w:tcPr>
                <w:p w14:paraId="4EC91232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6D1A142E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2536604A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340" w:type="dxa"/>
                  <w:shd w:val="clear" w:color="auto" w:fill="auto"/>
                  <w:vAlign w:val="top"/>
                </w:tcPr>
                <w:p w14:paraId="2EE3D9D8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52989C36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67EDE031"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2268" w:type="dxa"/>
                </w:tcPr>
                <w:p w14:paraId="6DBEF281">
                  <w:pPr>
                    <w:rPr>
                      <w:vertAlign w:val="baseline"/>
                    </w:rPr>
                  </w:pPr>
                </w:p>
              </w:tc>
            </w:tr>
          </w:tbl>
          <w:p w14:paraId="2D258931"/>
          <w:p w14:paraId="175179DE"/>
          <w:p w14:paraId="3D606EAA"/>
          <w:p w14:paraId="5BCCC47A"/>
        </w:tc>
      </w:tr>
    </w:tbl>
    <w:p w14:paraId="25055C1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Tong" w:date="2026-07-02T08:28:02Z" w:initials="">
    <w:p w14:paraId="7807934A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Table of contents is all you need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807934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9B39F">
    <w:pPr>
      <w:pStyle w:val="26"/>
    </w:pPr>
    <w:r>
      <w:t xml:space="preserve">[F1] Footer note: citations in the body refer to this parser-test footer annotation.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before="0" w:after="0" w:line="264" w:lineRule="auto"/>
      </w:pPr>
      <w:r>
        <w:separator/>
      </w:r>
    </w:p>
  </w:footnote>
  <w:footnote w:type="continuationSeparator" w:id="5">
    <w:p>
      <w:pPr>
        <w:spacing w:before="0" w:after="0" w:line="264" w:lineRule="auto"/>
      </w:pPr>
      <w:r>
        <w:continuationSeparator/>
      </w:r>
    </w:p>
  </w:footnote>
  <w:footnote w:id="0">
    <w:p w14:paraId="6C4F2D0F">
      <w:pPr>
        <w:pStyle w:val="31"/>
        <w:snapToGrid w:val="0"/>
        <w:rPr>
          <w:rFonts w:hint="default" w:eastAsia="宋体"/>
          <w:lang w:val="en-US" w:eastAsia="zh-CN"/>
        </w:rPr>
      </w:pPr>
      <w:r>
        <w:rPr>
          <w:rStyle w:val="142"/>
        </w:rPr>
        <w:footnoteRef/>
      </w:r>
      <w:r>
        <w:t xml:space="preserve"> </w:t>
      </w:r>
      <w:r>
        <w:rPr>
          <w:rFonts w:hint="eastAsia" w:eastAsia="宋体"/>
          <w:lang w:val="en-US" w:eastAsia="zh-CN"/>
        </w:rPr>
        <w:t>Real foot note never hides.</w:t>
      </w:r>
    </w:p>
  </w:footnote>
  <w:footnote w:id="1">
    <w:p w14:paraId="07B39883">
      <w:pPr>
        <w:pStyle w:val="26"/>
        <w:bidi w:val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E87F0">
    <w:pPr>
      <w:pStyle w:val="27"/>
    </w:pPr>
    <w:r>
      <w:t>LLM社会影响综合测试文档 | Header: parser fixture with multilingual sections and embedded assets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ong">
    <w15:presenceInfo w15:providerId="WPS Office" w15:userId="5699852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4"/>
    <w:footnote w:id="5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5DC46A"/>
    <w:rsid w:val="17EFD48F"/>
    <w:rsid w:val="1EF6E2CD"/>
    <w:rsid w:val="1F456DBB"/>
    <w:rsid w:val="1F7F29CC"/>
    <w:rsid w:val="1FBF8D5E"/>
    <w:rsid w:val="21BB0555"/>
    <w:rsid w:val="25A623AC"/>
    <w:rsid w:val="26F3964B"/>
    <w:rsid w:val="27C60897"/>
    <w:rsid w:val="27F6C250"/>
    <w:rsid w:val="2BFBA720"/>
    <w:rsid w:val="2DBFD099"/>
    <w:rsid w:val="2FF6A5F3"/>
    <w:rsid w:val="2FFDC394"/>
    <w:rsid w:val="31B38C2E"/>
    <w:rsid w:val="31FB12B4"/>
    <w:rsid w:val="35FED160"/>
    <w:rsid w:val="36D60782"/>
    <w:rsid w:val="375F8ED0"/>
    <w:rsid w:val="37AF755C"/>
    <w:rsid w:val="37F3F5F6"/>
    <w:rsid w:val="3977BBCB"/>
    <w:rsid w:val="39FD45BC"/>
    <w:rsid w:val="3B8FFA69"/>
    <w:rsid w:val="3BCF8B01"/>
    <w:rsid w:val="3BDB945C"/>
    <w:rsid w:val="3BEF00E6"/>
    <w:rsid w:val="3BF9167C"/>
    <w:rsid w:val="3BFF3E1A"/>
    <w:rsid w:val="3DAFA28E"/>
    <w:rsid w:val="3DEB7255"/>
    <w:rsid w:val="3DF53ED1"/>
    <w:rsid w:val="3DFE5A6B"/>
    <w:rsid w:val="3EFF7313"/>
    <w:rsid w:val="3F5E7FFF"/>
    <w:rsid w:val="3F72F2C8"/>
    <w:rsid w:val="3FB67130"/>
    <w:rsid w:val="3FCBBC63"/>
    <w:rsid w:val="3FE7DD84"/>
    <w:rsid w:val="3FF7F8C4"/>
    <w:rsid w:val="3FFD521D"/>
    <w:rsid w:val="3FFE2741"/>
    <w:rsid w:val="43D500D6"/>
    <w:rsid w:val="47E74731"/>
    <w:rsid w:val="47FD10A7"/>
    <w:rsid w:val="49B70271"/>
    <w:rsid w:val="4B7D8B12"/>
    <w:rsid w:val="4BCE27CE"/>
    <w:rsid w:val="4FBE1D1F"/>
    <w:rsid w:val="4FCACAFE"/>
    <w:rsid w:val="54B69F89"/>
    <w:rsid w:val="56D76B9A"/>
    <w:rsid w:val="56F3389F"/>
    <w:rsid w:val="57E92D25"/>
    <w:rsid w:val="57F6FCE5"/>
    <w:rsid w:val="57FC7706"/>
    <w:rsid w:val="59DE510D"/>
    <w:rsid w:val="59E9573C"/>
    <w:rsid w:val="5B734CC8"/>
    <w:rsid w:val="5BF71266"/>
    <w:rsid w:val="5BFB9851"/>
    <w:rsid w:val="5C797430"/>
    <w:rsid w:val="5CB604F8"/>
    <w:rsid w:val="5DBF6B3B"/>
    <w:rsid w:val="5DF12BF2"/>
    <w:rsid w:val="5E79F37C"/>
    <w:rsid w:val="5E9BD7DD"/>
    <w:rsid w:val="5F5D20DC"/>
    <w:rsid w:val="5F770034"/>
    <w:rsid w:val="5F9FA4AB"/>
    <w:rsid w:val="5FCF0BAC"/>
    <w:rsid w:val="5FD781B4"/>
    <w:rsid w:val="5FF92F41"/>
    <w:rsid w:val="5FFD9937"/>
    <w:rsid w:val="5FFF4FA2"/>
    <w:rsid w:val="6286132E"/>
    <w:rsid w:val="65FD8556"/>
    <w:rsid w:val="65FE820E"/>
    <w:rsid w:val="66BD1E40"/>
    <w:rsid w:val="672E0F40"/>
    <w:rsid w:val="67BE193E"/>
    <w:rsid w:val="67FE29F4"/>
    <w:rsid w:val="68CE4234"/>
    <w:rsid w:val="6ACE670F"/>
    <w:rsid w:val="6B97CE21"/>
    <w:rsid w:val="6BFE303D"/>
    <w:rsid w:val="6C7F1375"/>
    <w:rsid w:val="6DD6AF6E"/>
    <w:rsid w:val="6DF83CE3"/>
    <w:rsid w:val="6DF905C6"/>
    <w:rsid w:val="6EE41C85"/>
    <w:rsid w:val="6EFB208E"/>
    <w:rsid w:val="6F5F72B6"/>
    <w:rsid w:val="6F6A2E19"/>
    <w:rsid w:val="6F6D089B"/>
    <w:rsid w:val="6FB233B0"/>
    <w:rsid w:val="6FEBDB11"/>
    <w:rsid w:val="6FF750F1"/>
    <w:rsid w:val="6FFB5BCD"/>
    <w:rsid w:val="6FFDE91C"/>
    <w:rsid w:val="6FFF1BBC"/>
    <w:rsid w:val="6FFFB184"/>
    <w:rsid w:val="6FFFF9D2"/>
    <w:rsid w:val="71B33DAD"/>
    <w:rsid w:val="739B0C72"/>
    <w:rsid w:val="73BEB843"/>
    <w:rsid w:val="7475F4DE"/>
    <w:rsid w:val="74BDA02E"/>
    <w:rsid w:val="74F7B8AF"/>
    <w:rsid w:val="757FA821"/>
    <w:rsid w:val="75BE4E76"/>
    <w:rsid w:val="75FF8AD7"/>
    <w:rsid w:val="767440F0"/>
    <w:rsid w:val="76D3B461"/>
    <w:rsid w:val="76FBB51F"/>
    <w:rsid w:val="76FBB85D"/>
    <w:rsid w:val="77292034"/>
    <w:rsid w:val="776CAA00"/>
    <w:rsid w:val="77874847"/>
    <w:rsid w:val="77CF39A7"/>
    <w:rsid w:val="77DE3AAA"/>
    <w:rsid w:val="77E748F7"/>
    <w:rsid w:val="77EDBA65"/>
    <w:rsid w:val="79570C1D"/>
    <w:rsid w:val="7A9D04B2"/>
    <w:rsid w:val="7AEB9309"/>
    <w:rsid w:val="7AEF352C"/>
    <w:rsid w:val="7AF88553"/>
    <w:rsid w:val="7AFF9029"/>
    <w:rsid w:val="7BBE0675"/>
    <w:rsid w:val="7BEF1B39"/>
    <w:rsid w:val="7BFD7C37"/>
    <w:rsid w:val="7CFD59E3"/>
    <w:rsid w:val="7CFE10F1"/>
    <w:rsid w:val="7DC5A136"/>
    <w:rsid w:val="7DD847F5"/>
    <w:rsid w:val="7DF9088B"/>
    <w:rsid w:val="7E7FD82C"/>
    <w:rsid w:val="7E8D3105"/>
    <w:rsid w:val="7EAFF413"/>
    <w:rsid w:val="7EDE51DB"/>
    <w:rsid w:val="7EDEDC61"/>
    <w:rsid w:val="7EEE1F5D"/>
    <w:rsid w:val="7EFA33C3"/>
    <w:rsid w:val="7EFE1E55"/>
    <w:rsid w:val="7F1FD2A5"/>
    <w:rsid w:val="7F2B99F6"/>
    <w:rsid w:val="7F4E3567"/>
    <w:rsid w:val="7F6B9AFD"/>
    <w:rsid w:val="7F75EC30"/>
    <w:rsid w:val="7F7B41C2"/>
    <w:rsid w:val="7F7D01D9"/>
    <w:rsid w:val="7F7EF178"/>
    <w:rsid w:val="7F7F6B48"/>
    <w:rsid w:val="7FB78AEE"/>
    <w:rsid w:val="7FC1D56F"/>
    <w:rsid w:val="7FCF12AC"/>
    <w:rsid w:val="7FCFE09F"/>
    <w:rsid w:val="7FD326B4"/>
    <w:rsid w:val="7FD3D42F"/>
    <w:rsid w:val="7FD5A1CC"/>
    <w:rsid w:val="7FDB583E"/>
    <w:rsid w:val="7FE003DF"/>
    <w:rsid w:val="7FF7C03E"/>
    <w:rsid w:val="7FFB5D68"/>
    <w:rsid w:val="7FFB6BC8"/>
    <w:rsid w:val="7FFBB350"/>
    <w:rsid w:val="7FFDE1A6"/>
    <w:rsid w:val="7FFF4F2D"/>
    <w:rsid w:val="8A7B87E0"/>
    <w:rsid w:val="8BBC166A"/>
    <w:rsid w:val="8BFF0B86"/>
    <w:rsid w:val="8DDFD9E6"/>
    <w:rsid w:val="8F7DB351"/>
    <w:rsid w:val="8FB7D084"/>
    <w:rsid w:val="96FFD560"/>
    <w:rsid w:val="973F96BE"/>
    <w:rsid w:val="98FFCB7D"/>
    <w:rsid w:val="9EEC36F7"/>
    <w:rsid w:val="9F76925B"/>
    <w:rsid w:val="9F9F7E40"/>
    <w:rsid w:val="9FBECDF9"/>
    <w:rsid w:val="9FCF5451"/>
    <w:rsid w:val="9FFACB04"/>
    <w:rsid w:val="A77BD6F9"/>
    <w:rsid w:val="A7DFB1AC"/>
    <w:rsid w:val="A7FA4017"/>
    <w:rsid w:val="AA5E5FAE"/>
    <w:rsid w:val="AAD7C2AC"/>
    <w:rsid w:val="ABFF9E15"/>
    <w:rsid w:val="AEBF1823"/>
    <w:rsid w:val="AFBF4DA5"/>
    <w:rsid w:val="AFDE0CD5"/>
    <w:rsid w:val="AFE52303"/>
    <w:rsid w:val="AFF54BE5"/>
    <w:rsid w:val="B1DE7E48"/>
    <w:rsid w:val="B3A555CF"/>
    <w:rsid w:val="B5D792FF"/>
    <w:rsid w:val="B6EC0AB0"/>
    <w:rsid w:val="B76F36DC"/>
    <w:rsid w:val="B7A66C3F"/>
    <w:rsid w:val="B7E5214E"/>
    <w:rsid w:val="B7F367E4"/>
    <w:rsid w:val="B7FB2B0A"/>
    <w:rsid w:val="BCDE456B"/>
    <w:rsid w:val="BDDE7582"/>
    <w:rsid w:val="BDED2CE2"/>
    <w:rsid w:val="BDF7CB28"/>
    <w:rsid w:val="BEBCD642"/>
    <w:rsid w:val="BEEF4E12"/>
    <w:rsid w:val="BF1FFE9C"/>
    <w:rsid w:val="BF7BEA88"/>
    <w:rsid w:val="BFBC2408"/>
    <w:rsid w:val="BFBFA777"/>
    <w:rsid w:val="BFFF116B"/>
    <w:rsid w:val="C573F9DE"/>
    <w:rsid w:val="C74B2769"/>
    <w:rsid w:val="C77E23F1"/>
    <w:rsid w:val="C9FA72C8"/>
    <w:rsid w:val="CB39F29F"/>
    <w:rsid w:val="CBBE21F9"/>
    <w:rsid w:val="CCBB3C16"/>
    <w:rsid w:val="CEBEF61B"/>
    <w:rsid w:val="CFBF1B7C"/>
    <w:rsid w:val="CFFD196F"/>
    <w:rsid w:val="D2B53363"/>
    <w:rsid w:val="D43F5F22"/>
    <w:rsid w:val="D473C470"/>
    <w:rsid w:val="D4FF6443"/>
    <w:rsid w:val="D5FECFAD"/>
    <w:rsid w:val="D6E60D57"/>
    <w:rsid w:val="D6FFFF11"/>
    <w:rsid w:val="D7AFA3F2"/>
    <w:rsid w:val="D7B7D699"/>
    <w:rsid w:val="D7EFCFCA"/>
    <w:rsid w:val="D7F569F3"/>
    <w:rsid w:val="D7FB3C0E"/>
    <w:rsid w:val="DA7F4EE8"/>
    <w:rsid w:val="DBA0E6F7"/>
    <w:rsid w:val="DBEFA02F"/>
    <w:rsid w:val="DBFFB5A1"/>
    <w:rsid w:val="DCBC4D40"/>
    <w:rsid w:val="DCDEBCAC"/>
    <w:rsid w:val="DD7A7811"/>
    <w:rsid w:val="DD7AE350"/>
    <w:rsid w:val="DDFAFA9F"/>
    <w:rsid w:val="DDFE0913"/>
    <w:rsid w:val="DDFEB627"/>
    <w:rsid w:val="DEB86DA2"/>
    <w:rsid w:val="DEBF4CD3"/>
    <w:rsid w:val="DEF9646F"/>
    <w:rsid w:val="DF5B8DB9"/>
    <w:rsid w:val="DF6953E7"/>
    <w:rsid w:val="DFF3BC2E"/>
    <w:rsid w:val="DFFFD4F7"/>
    <w:rsid w:val="E47F9E1E"/>
    <w:rsid w:val="E55EDC99"/>
    <w:rsid w:val="E5FA688B"/>
    <w:rsid w:val="E7AE07FE"/>
    <w:rsid w:val="E7F5C10F"/>
    <w:rsid w:val="E7FBE640"/>
    <w:rsid w:val="E9DD2277"/>
    <w:rsid w:val="EB67BF9B"/>
    <w:rsid w:val="EDBFB10F"/>
    <w:rsid w:val="EEF72EE9"/>
    <w:rsid w:val="EEFBB57A"/>
    <w:rsid w:val="EF7B557A"/>
    <w:rsid w:val="EF7FCA9C"/>
    <w:rsid w:val="EFA61088"/>
    <w:rsid w:val="EFD7BEE8"/>
    <w:rsid w:val="EFD7CDB7"/>
    <w:rsid w:val="EFDD4C36"/>
    <w:rsid w:val="EFF22D5B"/>
    <w:rsid w:val="EFFE0A05"/>
    <w:rsid w:val="F09DB113"/>
    <w:rsid w:val="F0F7BC80"/>
    <w:rsid w:val="F16FB2F7"/>
    <w:rsid w:val="F1FFDC85"/>
    <w:rsid w:val="F26FDD4C"/>
    <w:rsid w:val="F2EC3D9F"/>
    <w:rsid w:val="F32E4D43"/>
    <w:rsid w:val="F3F784F5"/>
    <w:rsid w:val="F4DFF11A"/>
    <w:rsid w:val="F57D2317"/>
    <w:rsid w:val="F5EAF9C8"/>
    <w:rsid w:val="F5FB1BD9"/>
    <w:rsid w:val="F6777B10"/>
    <w:rsid w:val="F67DF020"/>
    <w:rsid w:val="F6B7189B"/>
    <w:rsid w:val="F6BF27C8"/>
    <w:rsid w:val="F6D20AD3"/>
    <w:rsid w:val="F6ED0244"/>
    <w:rsid w:val="F6F70C59"/>
    <w:rsid w:val="F70F34BB"/>
    <w:rsid w:val="F7747DB4"/>
    <w:rsid w:val="F78E7CDA"/>
    <w:rsid w:val="F7B83039"/>
    <w:rsid w:val="F7D710B4"/>
    <w:rsid w:val="F7DD2D89"/>
    <w:rsid w:val="F7EF96FD"/>
    <w:rsid w:val="F7EFC2AB"/>
    <w:rsid w:val="F7F0E51C"/>
    <w:rsid w:val="F7FC3C60"/>
    <w:rsid w:val="F7FD6CE8"/>
    <w:rsid w:val="F7FF4750"/>
    <w:rsid w:val="F8B2E043"/>
    <w:rsid w:val="F8CF98A2"/>
    <w:rsid w:val="F9931FC8"/>
    <w:rsid w:val="F99956E0"/>
    <w:rsid w:val="F9D7B9E1"/>
    <w:rsid w:val="F9F7F027"/>
    <w:rsid w:val="F9FFC12F"/>
    <w:rsid w:val="FA7B4B17"/>
    <w:rsid w:val="FB4ECC39"/>
    <w:rsid w:val="FB7F7E16"/>
    <w:rsid w:val="FBAD431A"/>
    <w:rsid w:val="FBAE83B7"/>
    <w:rsid w:val="FBB5FF53"/>
    <w:rsid w:val="FBB982BE"/>
    <w:rsid w:val="FBDA4E1D"/>
    <w:rsid w:val="FBE7A3F0"/>
    <w:rsid w:val="FBEBB994"/>
    <w:rsid w:val="FBEE80D4"/>
    <w:rsid w:val="FBF71558"/>
    <w:rsid w:val="FBFAACD1"/>
    <w:rsid w:val="FBFE6846"/>
    <w:rsid w:val="FC2E31DA"/>
    <w:rsid w:val="FCBF3470"/>
    <w:rsid w:val="FD3FD78A"/>
    <w:rsid w:val="FD477D1C"/>
    <w:rsid w:val="FD6B4C23"/>
    <w:rsid w:val="FD7BEF39"/>
    <w:rsid w:val="FD7D6F5F"/>
    <w:rsid w:val="FDABD202"/>
    <w:rsid w:val="FDB7C9CC"/>
    <w:rsid w:val="FDEF99C3"/>
    <w:rsid w:val="FDFD921D"/>
    <w:rsid w:val="FDFDCBDB"/>
    <w:rsid w:val="FE3E07F2"/>
    <w:rsid w:val="FE6F96FD"/>
    <w:rsid w:val="FEA64A21"/>
    <w:rsid w:val="FEB30D76"/>
    <w:rsid w:val="FEBEB767"/>
    <w:rsid w:val="FEE70D20"/>
    <w:rsid w:val="FEE70F88"/>
    <w:rsid w:val="FEE9480F"/>
    <w:rsid w:val="FEFF3828"/>
    <w:rsid w:val="FF3E7F00"/>
    <w:rsid w:val="FF5717D1"/>
    <w:rsid w:val="FF57DA38"/>
    <w:rsid w:val="FF6E74B0"/>
    <w:rsid w:val="FF7B0C42"/>
    <w:rsid w:val="FF7D6E52"/>
    <w:rsid w:val="FF7DEAC3"/>
    <w:rsid w:val="FF7E1F8F"/>
    <w:rsid w:val="FF7F6773"/>
    <w:rsid w:val="FF97321F"/>
    <w:rsid w:val="FF9FAF26"/>
    <w:rsid w:val="FFAFFF87"/>
    <w:rsid w:val="FFB95949"/>
    <w:rsid w:val="FFBB68DA"/>
    <w:rsid w:val="FFBBA259"/>
    <w:rsid w:val="FFBF1389"/>
    <w:rsid w:val="FFBF545C"/>
    <w:rsid w:val="FFCFBB90"/>
    <w:rsid w:val="FFDEE3BE"/>
    <w:rsid w:val="FFDFFA86"/>
    <w:rsid w:val="FFE7151F"/>
    <w:rsid w:val="FFE79AF2"/>
    <w:rsid w:val="FFEB3C12"/>
    <w:rsid w:val="FFEBD73C"/>
    <w:rsid w:val="FFF2BCA1"/>
    <w:rsid w:val="FFF7FB69"/>
    <w:rsid w:val="FFFDAAD9"/>
    <w:rsid w:val="FFFE84FB"/>
    <w:rsid w:val="FFFF0322"/>
    <w:rsid w:val="FFFFD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6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7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8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54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2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6">
    <w:name w:val="footer"/>
    <w:basedOn w:val="1"/>
    <w:link w:val="14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semiHidden/>
    <w:unhideWhenUsed/>
    <w:uiPriority w:val="39"/>
  </w:style>
  <w:style w:type="paragraph" w:styleId="29">
    <w:name w:val="Subtitle"/>
    <w:basedOn w:val="1"/>
    <w:next w:val="1"/>
    <w:link w:val="150"/>
    <w:qFormat/>
    <w:uiPriority w:val="11"/>
    <w:pPr>
      <w:spacing w:before="0" w:after="120"/>
    </w:pPr>
    <w:rPr>
      <w:rFonts w:asciiTheme="majorHAnsi" w:hAnsiTheme="majorHAnsi" w:eastAsiaTheme="majorEastAsia" w:cstheme="majorBidi"/>
      <w:i/>
      <w:iCs/>
      <w:color w:val="555555"/>
      <w:spacing w:val="15"/>
      <w:sz w:val="22"/>
      <w:szCs w:val="24"/>
    </w:r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32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3">
    <w:name w:val="Body Text 2"/>
    <w:basedOn w:val="1"/>
    <w:link w:val="153"/>
    <w:unhideWhenUsed/>
    <w:uiPriority w:val="99"/>
    <w:pPr>
      <w:spacing w:after="120" w:line="480" w:lineRule="auto"/>
    </w:p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9"/>
    <w:qFormat/>
    <w:uiPriority w:val="10"/>
    <w:pPr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4"/>
      <w:szCs w:val="52"/>
    </w:rPr>
  </w:style>
  <w:style w:type="table" w:styleId="38">
    <w:name w:val="Table Grid"/>
    <w:basedOn w:val="3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FollowedHyperlink"/>
    <w:basedOn w:val="137"/>
    <w:semiHidden/>
    <w:unhideWhenUsed/>
    <w:uiPriority w:val="99"/>
    <w:rPr>
      <w:color w:val="800080"/>
      <w:u w:val="single"/>
    </w:rPr>
  </w:style>
  <w:style w:type="character" w:styleId="140">
    <w:name w:val="Emphasis"/>
    <w:basedOn w:val="137"/>
    <w:qFormat/>
    <w:uiPriority w:val="20"/>
    <w:rPr>
      <w:i/>
      <w:iCs/>
    </w:rPr>
  </w:style>
  <w:style w:type="character" w:styleId="141">
    <w:name w:val="Hyperlink"/>
    <w:basedOn w:val="137"/>
    <w:semiHidden/>
    <w:unhideWhenUsed/>
    <w:uiPriority w:val="99"/>
    <w:rPr>
      <w:color w:val="0000FF"/>
      <w:u w:val="single"/>
    </w:rPr>
  </w:style>
  <w:style w:type="character" w:styleId="142">
    <w:name w:val="footnote reference"/>
    <w:basedOn w:val="137"/>
    <w:semiHidden/>
    <w:unhideWhenUsed/>
    <w:uiPriority w:val="99"/>
    <w:rPr>
      <w:vertAlign w:val="superscript"/>
    </w:rPr>
  </w:style>
  <w:style w:type="character" w:customStyle="1" w:styleId="143">
    <w:name w:val="Header Char"/>
    <w:basedOn w:val="137"/>
    <w:link w:val="27"/>
    <w:uiPriority w:val="99"/>
  </w:style>
  <w:style w:type="character" w:customStyle="1" w:styleId="144">
    <w:name w:val="Footer Char"/>
    <w:basedOn w:val="137"/>
    <w:link w:val="26"/>
    <w:uiPriority w:val="99"/>
  </w:style>
  <w:style w:type="paragraph" w:styleId="14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6">
    <w:name w:val="Heading 1 Char"/>
    <w:basedOn w:val="137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7">
    <w:name w:val="Heading 2 Char"/>
    <w:basedOn w:val="137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8">
    <w:name w:val="Heading 3 Char"/>
    <w:basedOn w:val="137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Title Char"/>
    <w:basedOn w:val="137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0">
    <w:name w:val="Subtitle Char"/>
    <w:basedOn w:val="137"/>
    <w:link w:val="2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1">
    <w:name w:val="List Paragraph"/>
    <w:basedOn w:val="1"/>
    <w:qFormat/>
    <w:uiPriority w:val="34"/>
    <w:pPr>
      <w:ind w:left="720"/>
      <w:contextualSpacing/>
    </w:pPr>
  </w:style>
  <w:style w:type="character" w:customStyle="1" w:styleId="152">
    <w:name w:val="Body Text Char"/>
    <w:basedOn w:val="137"/>
    <w:link w:val="20"/>
    <w:uiPriority w:val="99"/>
  </w:style>
  <w:style w:type="character" w:customStyle="1" w:styleId="153">
    <w:name w:val="Body Text 2 Char"/>
    <w:basedOn w:val="137"/>
    <w:link w:val="33"/>
    <w:uiPriority w:val="99"/>
  </w:style>
  <w:style w:type="character" w:customStyle="1" w:styleId="154">
    <w:name w:val="Body Text 3 Char"/>
    <w:basedOn w:val="137"/>
    <w:link w:val="18"/>
    <w:uiPriority w:val="99"/>
    <w:rPr>
      <w:sz w:val="16"/>
      <w:szCs w:val="16"/>
    </w:rPr>
  </w:style>
  <w:style w:type="character" w:customStyle="1" w:styleId="155">
    <w:name w:val="Macro Text Char"/>
    <w:basedOn w:val="137"/>
    <w:link w:val="2"/>
    <w:uiPriority w:val="99"/>
    <w:rPr>
      <w:rFonts w:ascii="Courier" w:hAnsi="Courier"/>
      <w:sz w:val="20"/>
      <w:szCs w:val="20"/>
    </w:rPr>
  </w:style>
  <w:style w:type="paragraph" w:styleId="156">
    <w:name w:val="Quote"/>
    <w:basedOn w:val="1"/>
    <w:next w:val="1"/>
    <w:link w:val="15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7">
    <w:name w:val="Quote Char"/>
    <w:basedOn w:val="137"/>
    <w:link w:val="156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8">
    <w:name w:val="Heading 4 Char"/>
    <w:basedOn w:val="137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Heading 5 Char"/>
    <w:basedOn w:val="137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0">
    <w:name w:val="Heading 6 Char"/>
    <w:basedOn w:val="137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1">
    <w:name w:val="Heading 7 Char"/>
    <w:basedOn w:val="137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2">
    <w:name w:val="Heading 8 Char"/>
    <w:basedOn w:val="137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3">
    <w:name w:val="Heading 9 Char"/>
    <w:basedOn w:val="137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4">
    <w:name w:val="Intense Quote"/>
    <w:basedOn w:val="1"/>
    <w:next w:val="1"/>
    <w:link w:val="16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Intense Quote Char"/>
    <w:basedOn w:val="137"/>
    <w:link w:val="164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7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9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0">
    <w:name w:val="Book Title"/>
    <w:basedOn w:val="137"/>
    <w:qFormat/>
    <w:uiPriority w:val="33"/>
    <w:rPr>
      <w:b/>
      <w:bCs/>
      <w:smallCaps/>
      <w:spacing w:val="5"/>
    </w:rPr>
  </w:style>
  <w:style w:type="paragraph" w:customStyle="1" w:styleId="171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5" Type="http://schemas.microsoft.com/office/2011/relationships/people" Target="people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microsoft.com/office/2007/relationships/diagramDrawing" Target="diagrams/drawing2.xml"/><Relationship Id="rId4" Type="http://schemas.microsoft.com/office/2011/relationships/commentsExtended" Target="commentsExtended.xml"/><Relationship Id="rId39" Type="http://schemas.openxmlformats.org/officeDocument/2006/relationships/diagramColors" Target="diagrams/colors2.xml"/><Relationship Id="rId38" Type="http://schemas.openxmlformats.org/officeDocument/2006/relationships/diagramQuickStyle" Target="diagrams/quickStyle2.xml"/><Relationship Id="rId37" Type="http://schemas.openxmlformats.org/officeDocument/2006/relationships/diagramLayout" Target="diagrams/layout2.xml"/><Relationship Id="rId36" Type="http://schemas.openxmlformats.org/officeDocument/2006/relationships/diagramData" Target="diagrams/data2.xml"/><Relationship Id="rId35" Type="http://schemas.openxmlformats.org/officeDocument/2006/relationships/image" Target="media/image15.png"/><Relationship Id="rId34" Type="http://schemas.microsoft.com/office/2007/relationships/diagramDrawing" Target="diagrams/drawing1.xml"/><Relationship Id="rId33" Type="http://schemas.openxmlformats.org/officeDocument/2006/relationships/diagramColors" Target="diagrams/colors1.xml"/><Relationship Id="rId32" Type="http://schemas.openxmlformats.org/officeDocument/2006/relationships/diagramQuickStyle" Target="diagrams/quickStyle1.xml"/><Relationship Id="rId31" Type="http://schemas.openxmlformats.org/officeDocument/2006/relationships/diagramLayout" Target="diagrams/layout1.xml"/><Relationship Id="rId30" Type="http://schemas.openxmlformats.org/officeDocument/2006/relationships/diagramData" Target="diagrams/data1.xml"/><Relationship Id="rId3" Type="http://schemas.openxmlformats.org/officeDocument/2006/relationships/comments" Target="comment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oleObject" Target="embeddings/oleObject5.bin"/><Relationship Id="rId21" Type="http://schemas.openxmlformats.org/officeDocument/2006/relationships/image" Target="media/image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oleObject" Target="embeddings/oleObject3.bin"/><Relationship Id="rId17" Type="http://schemas.openxmlformats.org/officeDocument/2006/relationships/image" Target="media/image5.png"/><Relationship Id="rId16" Type="http://schemas.openxmlformats.org/officeDocument/2006/relationships/oleObject" Target="embeddings/oleObject2.bin"/><Relationship Id="rId15" Type="http://schemas.openxmlformats.org/officeDocument/2006/relationships/image" Target="media/image4.png"/><Relationship Id="rId14" Type="http://schemas.openxmlformats.org/officeDocument/2006/relationships/oleObject" Target="embeddings/oleObject1.bin"/><Relationship Id="rId13" Type="http://schemas.openxmlformats.org/officeDocument/2006/relationships/chart" Target="charts/chart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I am a diagram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5021058"/>
        <c:axId val="241664203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15021058"/>
        <c:axId val="241664203"/>
      </c:lineChart>
      <c:catAx>
        <c:axId val="61502105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41664203"/>
        <c:crosses val="autoZero"/>
        <c:auto val="1"/>
        <c:lblAlgn val="ctr"/>
        <c:lblOffset val="100"/>
        <c:noMultiLvlLbl val="0"/>
      </c:catAx>
      <c:valAx>
        <c:axId val="2416642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502105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ebd159d-17e4-4246-90c7-47cfd0496d1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8CED798-24A6-4160-A4DF-B0E5BB8236C2}" type="doc">
      <dgm:prSet loTypeId="list" loCatId="list" qsTypeId="urn:microsoft.com/office/officeart/2005/8/quickstyle/simple1" qsCatId="simple" csTypeId="urn:microsoft.com/office/officeart/2005/8/colors/accent1_2" csCatId="accent1" phldr="0"/>
      <dgm:spPr/>
      <dgm:t>
        <a:bodyPr/>
        <a:p>
          <a:endParaRPr lang="zh-CN" altLang="en-US"/>
        </a:p>
      </dgm:t>
    </dgm:pt>
    <dgm:pt modelId="{91F5AF42-2E8E-47F5-BC8E-D4C7FA9FA290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one</a:t>
          </a:r>
          <a:r>
            <a:rPr lang="zh-CN" altLang="en-US"/>
            <a:t/>
          </a:r>
          <a:endParaRPr lang="zh-CN" altLang="en-US"/>
        </a:p>
      </dgm:t>
    </dgm:pt>
    <dgm:pt modelId="{3A37C892-50B7-47F1-86AA-3FDF5EB4EE9B}" cxnId="{15F086EB-4C23-4B50-B8BA-D19174A7A89C}" type="parTrans">
      <dgm:prSet/>
      <dgm:spPr/>
      <dgm:t>
        <a:bodyPr/>
        <a:p>
          <a:endParaRPr lang="zh-CN" altLang="en-US"/>
        </a:p>
      </dgm:t>
    </dgm:pt>
    <dgm:pt modelId="{63B1AD43-9D20-4050-A552-EF02B5A2392B}" cxnId="{15F086EB-4C23-4B50-B8BA-D19174A7A89C}" type="sibTrans">
      <dgm:prSet/>
      <dgm:spPr/>
      <dgm:t>
        <a:bodyPr/>
        <a:p>
          <a:endParaRPr lang="zh-CN" altLang="en-US"/>
        </a:p>
      </dgm:t>
    </dgm:pt>
    <dgm:pt modelId="{280D5902-A14D-4C39-A125-DEF43C7815E8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two</a:t>
          </a:r>
          <a:r>
            <a:rPr lang="en-US" altLang="zh-CN"/>
            <a:t/>
          </a:r>
          <a:endParaRPr lang="en-US" altLang="zh-CN"/>
        </a:p>
      </dgm:t>
    </dgm:pt>
    <dgm:pt modelId="{0BF6BCDE-F41A-4644-928D-D095CDC58CED}" cxnId="{741255C0-A110-467E-9C92-D7CCD1CBAFD0}" type="parTrans">
      <dgm:prSet/>
      <dgm:spPr/>
      <dgm:t>
        <a:bodyPr/>
        <a:p>
          <a:endParaRPr lang="zh-CN" altLang="en-US"/>
        </a:p>
      </dgm:t>
    </dgm:pt>
    <dgm:pt modelId="{CC55538B-3B09-4E9F-877D-7D4FB05A20D8}" cxnId="{741255C0-A110-467E-9C92-D7CCD1CBAFD0}" type="sibTrans">
      <dgm:prSet/>
      <dgm:spPr/>
      <dgm:t>
        <a:bodyPr/>
        <a:p>
          <a:endParaRPr lang="zh-CN" altLang="en-US"/>
        </a:p>
      </dgm:t>
    </dgm:pt>
    <dgm:pt modelId="{36E5B5FE-7A44-47A1-8F92-B088257A2152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three</a:t>
          </a:r>
          <a:r>
            <a:rPr lang="en-US" altLang="zh-CN"/>
            <a:t/>
          </a:r>
          <a:endParaRPr lang="en-US" altLang="zh-CN"/>
        </a:p>
      </dgm:t>
    </dgm:pt>
    <dgm:pt modelId="{7926F024-4AEC-4671-BBB1-3CE0B2112B8B}" cxnId="{F87D4D41-8593-4CCE-928E-DBE0C96F3289}" type="parTrans">
      <dgm:prSet/>
      <dgm:spPr/>
      <dgm:t>
        <a:bodyPr/>
        <a:p>
          <a:endParaRPr lang="zh-CN" altLang="en-US"/>
        </a:p>
      </dgm:t>
    </dgm:pt>
    <dgm:pt modelId="{BC0418CD-7831-4545-B1D9-93D351CF53C3}" cxnId="{F87D4D41-8593-4CCE-928E-DBE0C96F3289}" type="sibTrans">
      <dgm:prSet/>
      <dgm:spPr/>
      <dgm:t>
        <a:bodyPr/>
        <a:p>
          <a:endParaRPr lang="zh-CN" altLang="en-US"/>
        </a:p>
      </dgm:t>
    </dgm:pt>
    <dgm:pt modelId="{0C7D3D51-F412-476C-9C1C-D9011C5FB7E6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four</a:t>
          </a:r>
          <a:endParaRPr lang="en-US" altLang="zh-CN"/>
        </a:p>
      </dgm:t>
    </dgm:pt>
    <dgm:pt modelId="{400E46CD-A113-4830-88F5-A1B2F4D84554}" cxnId="{9AB1D33E-5632-4BB0-8D2D-6C606CC74849}" type="parTrans">
      <dgm:prSet/>
      <dgm:spPr/>
      <dgm:t>
        <a:bodyPr/>
        <a:p>
          <a:endParaRPr lang="zh-CN" altLang="en-US"/>
        </a:p>
      </dgm:t>
    </dgm:pt>
    <dgm:pt modelId="{F5A1DABB-6DD6-47EE-99A8-4582EBF4C827}" cxnId="{9AB1D33E-5632-4BB0-8D2D-6C606CC74849}" type="sibTrans">
      <dgm:prSet/>
      <dgm:spPr/>
      <dgm:t>
        <a:bodyPr/>
        <a:p>
          <a:endParaRPr lang="zh-CN" altLang="en-US"/>
        </a:p>
      </dgm:t>
    </dgm:pt>
    <dgm:pt modelId="{906887FB-01DE-46E1-9312-97F8DF38EE6D}" type="pres">
      <dgm:prSet presAssocID="{98CED798-24A6-4160-A4DF-B0E5BB8236C2}" presName="diagram" presStyleCnt="0">
        <dgm:presLayoutVars>
          <dgm:dir/>
          <dgm:resizeHandles val="exact"/>
        </dgm:presLayoutVars>
      </dgm:prSet>
      <dgm:spPr/>
    </dgm:pt>
    <dgm:pt modelId="{8EA24BC0-0B8D-42E9-A25F-7CA5AD90CCA1}" type="pres">
      <dgm:prSet presAssocID="{91F5AF42-2E8E-47F5-BC8E-D4C7FA9FA290}" presName="node" presStyleLbl="node1" presStyleIdx="0" presStyleCnt="4">
        <dgm:presLayoutVars>
          <dgm:bulletEnabled val="1"/>
        </dgm:presLayoutVars>
      </dgm:prSet>
      <dgm:spPr/>
    </dgm:pt>
    <dgm:pt modelId="{6C2FC485-DEBF-4CB8-855D-A9838793F3F3}" type="pres">
      <dgm:prSet presAssocID="{63B1AD43-9D20-4050-A552-EF02B5A2392B}" presName="sibTrans" presStyleCnt="0"/>
      <dgm:spPr/>
    </dgm:pt>
    <dgm:pt modelId="{A3974D1E-D32E-47DA-BFE3-BD66226FC69C}" type="pres">
      <dgm:prSet presAssocID="{280D5902-A14D-4C39-A125-DEF43C7815E8}" presName="node" presStyleLbl="node1" presStyleIdx="1" presStyleCnt="4">
        <dgm:presLayoutVars>
          <dgm:bulletEnabled val="1"/>
        </dgm:presLayoutVars>
      </dgm:prSet>
      <dgm:spPr/>
    </dgm:pt>
    <dgm:pt modelId="{2F2E690F-0370-4CE7-99EA-691838C9081B}" type="pres">
      <dgm:prSet presAssocID="{CC55538B-3B09-4E9F-877D-7D4FB05A20D8}" presName="sibTrans" presStyleCnt="0"/>
      <dgm:spPr/>
    </dgm:pt>
    <dgm:pt modelId="{D62CCB3D-C0B5-4702-B0E7-2BCC3AC6BED6}" type="pres">
      <dgm:prSet presAssocID="{36E5B5FE-7A44-47A1-8F92-B088257A2152}" presName="node" presStyleLbl="node1" presStyleIdx="2" presStyleCnt="4">
        <dgm:presLayoutVars>
          <dgm:bulletEnabled val="1"/>
        </dgm:presLayoutVars>
      </dgm:prSet>
      <dgm:spPr/>
    </dgm:pt>
    <dgm:pt modelId="{41E36F34-9D51-413F-8CB8-323CFB9F70DD}" type="pres">
      <dgm:prSet presAssocID="{BC0418CD-7831-4545-B1D9-93D351CF53C3}" presName="sibTrans" presStyleCnt="0"/>
      <dgm:spPr/>
    </dgm:pt>
    <dgm:pt modelId="{65DCAB72-4323-4909-83B5-EA97756B63D0}" type="pres">
      <dgm:prSet presAssocID="{0C7D3D51-F412-476C-9C1C-D9011C5FB7E6}" presName="node" presStyleLbl="node1" presStyleIdx="3" presStyleCnt="4">
        <dgm:presLayoutVars>
          <dgm:bulletEnabled val="1"/>
        </dgm:presLayoutVars>
      </dgm:prSet>
      <dgm:spPr/>
    </dgm:pt>
  </dgm:ptLst>
  <dgm:cxnLst>
    <dgm:cxn modelId="{15F086EB-4C23-4B50-B8BA-D19174A7A89C}" srcId="{98CED798-24A6-4160-A4DF-B0E5BB8236C2}" destId="{91F5AF42-2E8E-47F5-BC8E-D4C7FA9FA290}" srcOrd="0" destOrd="0" parTransId="{3A37C892-50B7-47F1-86AA-3FDF5EB4EE9B}" sibTransId="{63B1AD43-9D20-4050-A552-EF02B5A2392B}"/>
    <dgm:cxn modelId="{741255C0-A110-467E-9C92-D7CCD1CBAFD0}" srcId="{98CED798-24A6-4160-A4DF-B0E5BB8236C2}" destId="{280D5902-A14D-4C39-A125-DEF43C7815E8}" srcOrd="1" destOrd="0" parTransId="{0BF6BCDE-F41A-4644-928D-D095CDC58CED}" sibTransId="{CC55538B-3B09-4E9F-877D-7D4FB05A20D8}"/>
    <dgm:cxn modelId="{F87D4D41-8593-4CCE-928E-DBE0C96F3289}" srcId="{98CED798-24A6-4160-A4DF-B0E5BB8236C2}" destId="{36E5B5FE-7A44-47A1-8F92-B088257A2152}" srcOrd="2" destOrd="0" parTransId="{7926F024-4AEC-4671-BBB1-3CE0B2112B8B}" sibTransId="{BC0418CD-7831-4545-B1D9-93D351CF53C3}"/>
    <dgm:cxn modelId="{9AB1D33E-5632-4BB0-8D2D-6C606CC74849}" srcId="{98CED798-24A6-4160-A4DF-B0E5BB8236C2}" destId="{0C7D3D51-F412-476C-9C1C-D9011C5FB7E6}" srcOrd="3" destOrd="0" parTransId="{400E46CD-A113-4830-88F5-A1B2F4D84554}" sibTransId="{F5A1DABB-6DD6-47EE-99A8-4582EBF4C827}"/>
    <dgm:cxn modelId="{70A1639C-C39F-4974-A053-F10C4CD08FDD}" type="presOf" srcId="{98CED798-24A6-4160-A4DF-B0E5BB8236C2}" destId="{906887FB-01DE-46E1-9312-97F8DF38EE6D}" srcOrd="0" destOrd="0" presId="urn:microsoft.com/office/officeart/2005/8/layout/default"/>
    <dgm:cxn modelId="{148BB7FC-A4CD-450F-8AE7-5F7D1D27C1E7}" type="presParOf" srcId="{906887FB-01DE-46E1-9312-97F8DF38EE6D}" destId="{8EA24BC0-0B8D-42E9-A25F-7CA5AD90CCA1}" srcOrd="0" destOrd="0" presId="urn:microsoft.com/office/officeart/2005/8/layout/default"/>
    <dgm:cxn modelId="{69BCBD7A-E469-4FC0-A9EE-FE544054E813}" type="presOf" srcId="{91F5AF42-2E8E-47F5-BC8E-D4C7FA9FA290}" destId="{8EA24BC0-0B8D-42E9-A25F-7CA5AD90CCA1}" srcOrd="0" destOrd="0" presId="urn:microsoft.com/office/officeart/2005/8/layout/default"/>
    <dgm:cxn modelId="{69E9E814-5039-4556-BC10-50CD5760ACAB}" type="presParOf" srcId="{906887FB-01DE-46E1-9312-97F8DF38EE6D}" destId="{6C2FC485-DEBF-4CB8-855D-A9838793F3F3}" srcOrd="1" destOrd="0" presId="urn:microsoft.com/office/officeart/2005/8/layout/default"/>
    <dgm:cxn modelId="{1329F246-863A-46EF-8833-FF9507AC0740}" type="presParOf" srcId="{906887FB-01DE-46E1-9312-97F8DF38EE6D}" destId="{A3974D1E-D32E-47DA-BFE3-BD66226FC69C}" srcOrd="2" destOrd="0" presId="urn:microsoft.com/office/officeart/2005/8/layout/default"/>
    <dgm:cxn modelId="{8B18F7CE-1753-4CEB-9A7C-0958967A7821}" type="presOf" srcId="{280D5902-A14D-4C39-A125-DEF43C7815E8}" destId="{A3974D1E-D32E-47DA-BFE3-BD66226FC69C}" srcOrd="0" destOrd="0" presId="urn:microsoft.com/office/officeart/2005/8/layout/default"/>
    <dgm:cxn modelId="{B9BAF852-8BD3-45B9-9925-E464AB64004A}" type="presParOf" srcId="{906887FB-01DE-46E1-9312-97F8DF38EE6D}" destId="{2F2E690F-0370-4CE7-99EA-691838C9081B}" srcOrd="3" destOrd="0" presId="urn:microsoft.com/office/officeart/2005/8/layout/default"/>
    <dgm:cxn modelId="{956938D0-AC53-41E8-A20F-E4DF886DAA9D}" type="presParOf" srcId="{906887FB-01DE-46E1-9312-97F8DF38EE6D}" destId="{D62CCB3D-C0B5-4702-B0E7-2BCC3AC6BED6}" srcOrd="4" destOrd="0" presId="urn:microsoft.com/office/officeart/2005/8/layout/default"/>
    <dgm:cxn modelId="{586F0316-9930-4DCD-B2C5-BAB85A0632D0}" type="presOf" srcId="{36E5B5FE-7A44-47A1-8F92-B088257A2152}" destId="{D62CCB3D-C0B5-4702-B0E7-2BCC3AC6BED6}" srcOrd="0" destOrd="0" presId="urn:microsoft.com/office/officeart/2005/8/layout/default"/>
    <dgm:cxn modelId="{BF5F437F-EF65-44AA-80BD-C895762B820E}" type="presParOf" srcId="{906887FB-01DE-46E1-9312-97F8DF38EE6D}" destId="{41E36F34-9D51-413F-8CB8-323CFB9F70DD}" srcOrd="5" destOrd="0" presId="urn:microsoft.com/office/officeart/2005/8/layout/default"/>
    <dgm:cxn modelId="{4252870A-10A5-4259-A951-7316EF4FCE20}" type="presParOf" srcId="{906887FB-01DE-46E1-9312-97F8DF38EE6D}" destId="{65DCAB72-4323-4909-83B5-EA97756B63D0}" srcOrd="6" destOrd="0" presId="urn:microsoft.com/office/officeart/2005/8/layout/default"/>
    <dgm:cxn modelId="{5FDD6E01-F0B2-411D-B08C-072500050984}" type="presOf" srcId="{0C7D3D51-F412-476C-9C1C-D9011C5FB7E6}" destId="{65DCAB72-4323-4909-83B5-EA97756B63D0}" srcOrd="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8CED798-24A6-4160-A4DF-B0E5BB8236C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0"/>
      <dgm:spPr/>
      <dgm:t>
        <a:bodyPr/>
        <a:p>
          <a:endParaRPr lang="zh-CN" altLang="en-US"/>
        </a:p>
      </dgm:t>
    </dgm:pt>
    <dgm:pt modelId="{91F5AF42-2E8E-47F5-BC8E-D4C7FA9FA290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eins</a:t>
          </a:r>
          <a:endParaRPr lang="en-US" altLang="zh-CN"/>
        </a:p>
      </dgm:t>
    </dgm:pt>
    <dgm:pt modelId="{3A37C892-50B7-47F1-86AA-3FDF5EB4EE9B}" cxnId="{3C353556-FC6F-434D-BA6C-C478C7674684}" type="parTrans">
      <dgm:prSet/>
      <dgm:spPr/>
      <dgm:t>
        <a:bodyPr/>
        <a:p>
          <a:endParaRPr lang="zh-CN" altLang="en-US"/>
        </a:p>
      </dgm:t>
    </dgm:pt>
    <dgm:pt modelId="{63B1AD43-9D20-4050-A552-EF02B5A2392B}" cxnId="{3C353556-FC6F-434D-BA6C-C478C7674684}" type="sibTrans">
      <dgm:prSet/>
      <dgm:spPr/>
      <dgm:t>
        <a:bodyPr/>
        <a:p>
          <a:endParaRPr lang="zh-CN" altLang="en-US"/>
        </a:p>
      </dgm:t>
    </dgm:pt>
    <dgm:pt modelId="{280D5902-A14D-4C39-A125-DEF43C7815E8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zwei</a:t>
          </a:r>
          <a:r>
            <a:rPr lang="en-US" altLang="zh-CN"/>
            <a:t/>
          </a:r>
          <a:endParaRPr lang="en-US" altLang="zh-CN"/>
        </a:p>
      </dgm:t>
    </dgm:pt>
    <dgm:pt modelId="{0BF6BCDE-F41A-4644-928D-D095CDC58CED}" cxnId="{FA9C1B22-FE87-4CB9-84EF-9DB3F4617E09}" type="parTrans">
      <dgm:prSet/>
      <dgm:spPr/>
      <dgm:t>
        <a:bodyPr/>
        <a:p>
          <a:endParaRPr lang="zh-CN" altLang="en-US"/>
        </a:p>
      </dgm:t>
    </dgm:pt>
    <dgm:pt modelId="{CC55538B-3B09-4E9F-877D-7D4FB05A20D8}" cxnId="{FA9C1B22-FE87-4CB9-84EF-9DB3F4617E09}" type="sibTrans">
      <dgm:prSet/>
      <dgm:spPr/>
      <dgm:t>
        <a:bodyPr/>
        <a:p>
          <a:endParaRPr lang="zh-CN" altLang="en-US"/>
        </a:p>
      </dgm:t>
    </dgm:pt>
    <dgm:pt modelId="{36E5B5FE-7A44-47A1-8F92-B088257A2152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drei</a:t>
          </a:r>
          <a:r>
            <a:rPr lang="en-US" altLang="zh-CN"/>
            <a:t/>
          </a:r>
          <a:endParaRPr lang="en-US" altLang="zh-CN"/>
        </a:p>
      </dgm:t>
    </dgm:pt>
    <dgm:pt modelId="{7926F024-4AEC-4671-BBB1-3CE0B2112B8B}" cxnId="{7ACFB748-AFC9-4943-BC40-E8E20B99B2C7}" type="parTrans">
      <dgm:prSet/>
      <dgm:spPr/>
      <dgm:t>
        <a:bodyPr/>
        <a:p>
          <a:endParaRPr lang="zh-CN" altLang="en-US"/>
        </a:p>
      </dgm:t>
    </dgm:pt>
    <dgm:pt modelId="{BC0418CD-7831-4545-B1D9-93D351CF53C3}" cxnId="{7ACFB748-AFC9-4943-BC40-E8E20B99B2C7}" type="sibTrans">
      <dgm:prSet/>
      <dgm:spPr/>
      <dgm:t>
        <a:bodyPr/>
        <a:p>
          <a:endParaRPr lang="zh-CN" altLang="en-US"/>
        </a:p>
      </dgm:t>
    </dgm:pt>
    <dgm:pt modelId="{0C7D3D51-F412-476C-9C1C-D9011C5FB7E6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vier</a:t>
          </a:r>
          <a:r>
            <a:rPr lang="en-US" altLang="zh-CN"/>
            <a:t/>
          </a:r>
          <a:endParaRPr lang="en-US" altLang="zh-CN"/>
        </a:p>
      </dgm:t>
    </dgm:pt>
    <dgm:pt modelId="{400E46CD-A113-4830-88F5-A1B2F4D84554}" cxnId="{0D1F8DC4-2DD3-4E14-95ED-6103190566D9}" type="parTrans">
      <dgm:prSet/>
      <dgm:spPr/>
      <dgm:t>
        <a:bodyPr/>
        <a:p>
          <a:endParaRPr lang="zh-CN" altLang="en-US"/>
        </a:p>
      </dgm:t>
    </dgm:pt>
    <dgm:pt modelId="{F5A1DABB-6DD6-47EE-99A8-4582EBF4C827}" cxnId="{0D1F8DC4-2DD3-4E14-95ED-6103190566D9}" type="sibTrans">
      <dgm:prSet/>
      <dgm:spPr/>
      <dgm:t>
        <a:bodyPr/>
        <a:p>
          <a:endParaRPr lang="zh-CN" altLang="en-US"/>
        </a:p>
      </dgm:t>
    </dgm:pt>
    <dgm:pt modelId="{906887FB-01DE-46E1-9312-97F8DF38EE6D}" type="pres">
      <dgm:prSet presAssocID="{98CED798-24A6-4160-A4DF-B0E5BB8236C2}" presName="diagram" presStyleCnt="0">
        <dgm:presLayoutVars>
          <dgm:dir/>
          <dgm:resizeHandles val="exact"/>
        </dgm:presLayoutVars>
      </dgm:prSet>
      <dgm:spPr/>
    </dgm:pt>
    <dgm:pt modelId="{8EA24BC0-0B8D-42E9-A25F-7CA5AD90CCA1}" type="pres">
      <dgm:prSet presAssocID="{91F5AF42-2E8E-47F5-BC8E-D4C7FA9FA290}" presName="node" presStyleLbl="node1" presStyleIdx="0" presStyleCnt="4">
        <dgm:presLayoutVars>
          <dgm:bulletEnabled val="1"/>
        </dgm:presLayoutVars>
      </dgm:prSet>
      <dgm:spPr/>
    </dgm:pt>
    <dgm:pt modelId="{6C2FC485-DEBF-4CB8-855D-A9838793F3F3}" type="pres">
      <dgm:prSet presAssocID="{63B1AD43-9D20-4050-A552-EF02B5A2392B}" presName="sibTrans" presStyleCnt="0"/>
      <dgm:spPr/>
    </dgm:pt>
    <dgm:pt modelId="{A3974D1E-D32E-47DA-BFE3-BD66226FC69C}" type="pres">
      <dgm:prSet presAssocID="{280D5902-A14D-4C39-A125-DEF43C7815E8}" presName="node" presStyleLbl="node1" presStyleIdx="1" presStyleCnt="4">
        <dgm:presLayoutVars>
          <dgm:bulletEnabled val="1"/>
        </dgm:presLayoutVars>
      </dgm:prSet>
      <dgm:spPr/>
    </dgm:pt>
    <dgm:pt modelId="{2F2E690F-0370-4CE7-99EA-691838C9081B}" type="pres">
      <dgm:prSet presAssocID="{CC55538B-3B09-4E9F-877D-7D4FB05A20D8}" presName="sibTrans" presStyleCnt="0"/>
      <dgm:spPr/>
    </dgm:pt>
    <dgm:pt modelId="{D62CCB3D-C0B5-4702-B0E7-2BCC3AC6BED6}" type="pres">
      <dgm:prSet presAssocID="{36E5B5FE-7A44-47A1-8F92-B088257A2152}" presName="node" presStyleLbl="node1" presStyleIdx="2" presStyleCnt="4">
        <dgm:presLayoutVars>
          <dgm:bulletEnabled val="1"/>
        </dgm:presLayoutVars>
      </dgm:prSet>
      <dgm:spPr/>
    </dgm:pt>
    <dgm:pt modelId="{41E36F34-9D51-413F-8CB8-323CFB9F70DD}" type="pres">
      <dgm:prSet presAssocID="{BC0418CD-7831-4545-B1D9-93D351CF53C3}" presName="sibTrans" presStyleCnt="0"/>
      <dgm:spPr/>
    </dgm:pt>
    <dgm:pt modelId="{65DCAB72-4323-4909-83B5-EA97756B63D0}" type="pres">
      <dgm:prSet presAssocID="{0C7D3D51-F412-476C-9C1C-D9011C5FB7E6}" presName="node" presStyleLbl="node1" presStyleIdx="3" presStyleCnt="4">
        <dgm:presLayoutVars>
          <dgm:bulletEnabled val="1"/>
        </dgm:presLayoutVars>
      </dgm:prSet>
      <dgm:spPr/>
    </dgm:pt>
  </dgm:ptLst>
  <dgm:cxnLst>
    <dgm:cxn modelId="{3C353556-FC6F-434D-BA6C-C478C7674684}" srcId="{98CED798-24A6-4160-A4DF-B0E5BB8236C2}" destId="{91F5AF42-2E8E-47F5-BC8E-D4C7FA9FA290}" srcOrd="0" destOrd="0" parTransId="{3A37C892-50B7-47F1-86AA-3FDF5EB4EE9B}" sibTransId="{63B1AD43-9D20-4050-A552-EF02B5A2392B}"/>
    <dgm:cxn modelId="{FA9C1B22-FE87-4CB9-84EF-9DB3F4617E09}" srcId="{98CED798-24A6-4160-A4DF-B0E5BB8236C2}" destId="{280D5902-A14D-4C39-A125-DEF43C7815E8}" srcOrd="1" destOrd="0" parTransId="{0BF6BCDE-F41A-4644-928D-D095CDC58CED}" sibTransId="{CC55538B-3B09-4E9F-877D-7D4FB05A20D8}"/>
    <dgm:cxn modelId="{7ACFB748-AFC9-4943-BC40-E8E20B99B2C7}" srcId="{98CED798-24A6-4160-A4DF-B0E5BB8236C2}" destId="{36E5B5FE-7A44-47A1-8F92-B088257A2152}" srcOrd="2" destOrd="0" parTransId="{7926F024-4AEC-4671-BBB1-3CE0B2112B8B}" sibTransId="{BC0418CD-7831-4545-B1D9-93D351CF53C3}"/>
    <dgm:cxn modelId="{0D1F8DC4-2DD3-4E14-95ED-6103190566D9}" srcId="{98CED798-24A6-4160-A4DF-B0E5BB8236C2}" destId="{0C7D3D51-F412-476C-9C1C-D9011C5FB7E6}" srcOrd="3" destOrd="0" parTransId="{400E46CD-A113-4830-88F5-A1B2F4D84554}" sibTransId="{F5A1DABB-6DD6-47EE-99A8-4582EBF4C827}"/>
    <dgm:cxn modelId="{1925FCE2-8CF7-48A1-8589-84F25FD5E8CE}" type="presOf" srcId="{98CED798-24A6-4160-A4DF-B0E5BB8236C2}" destId="{906887FB-01DE-46E1-9312-97F8DF38EE6D}" srcOrd="0" destOrd="0" presId="urn:microsoft.com/office/officeart/2005/8/layout/default"/>
    <dgm:cxn modelId="{06135AF2-F061-41B6-84AA-01C1D3C34585}" type="presParOf" srcId="{906887FB-01DE-46E1-9312-97F8DF38EE6D}" destId="{8EA24BC0-0B8D-42E9-A25F-7CA5AD90CCA1}" srcOrd="0" destOrd="0" presId="urn:microsoft.com/office/officeart/2005/8/layout/default"/>
    <dgm:cxn modelId="{D4BC34B9-1DCA-4448-8CE8-B4A25666A8D1}" type="presOf" srcId="{91F5AF42-2E8E-47F5-BC8E-D4C7FA9FA290}" destId="{8EA24BC0-0B8D-42E9-A25F-7CA5AD90CCA1}" srcOrd="0" destOrd="0" presId="urn:microsoft.com/office/officeart/2005/8/layout/default"/>
    <dgm:cxn modelId="{C110B7D5-7A8A-466A-B2B1-CB13E7CF7FC5}" type="presParOf" srcId="{906887FB-01DE-46E1-9312-97F8DF38EE6D}" destId="{6C2FC485-DEBF-4CB8-855D-A9838793F3F3}" srcOrd="1" destOrd="0" presId="urn:microsoft.com/office/officeart/2005/8/layout/default"/>
    <dgm:cxn modelId="{BBF48FE5-006B-47BB-8300-83935E72EF6F}" type="presParOf" srcId="{906887FB-01DE-46E1-9312-97F8DF38EE6D}" destId="{A3974D1E-D32E-47DA-BFE3-BD66226FC69C}" srcOrd="2" destOrd="0" presId="urn:microsoft.com/office/officeart/2005/8/layout/default"/>
    <dgm:cxn modelId="{5FBD56E0-A16B-4994-BF81-064829A6F037}" type="presOf" srcId="{280D5902-A14D-4C39-A125-DEF43C7815E8}" destId="{A3974D1E-D32E-47DA-BFE3-BD66226FC69C}" srcOrd="0" destOrd="0" presId="urn:microsoft.com/office/officeart/2005/8/layout/default"/>
    <dgm:cxn modelId="{D783F995-7706-4C22-AEAC-66236C5CA15D}" type="presParOf" srcId="{906887FB-01DE-46E1-9312-97F8DF38EE6D}" destId="{2F2E690F-0370-4CE7-99EA-691838C9081B}" srcOrd="3" destOrd="0" presId="urn:microsoft.com/office/officeart/2005/8/layout/default"/>
    <dgm:cxn modelId="{4F61C425-D1C1-4A88-9228-CCF31598F4C8}" type="presParOf" srcId="{906887FB-01DE-46E1-9312-97F8DF38EE6D}" destId="{D62CCB3D-C0B5-4702-B0E7-2BCC3AC6BED6}" srcOrd="4" destOrd="0" presId="urn:microsoft.com/office/officeart/2005/8/layout/default"/>
    <dgm:cxn modelId="{45B6DCE6-C85A-4FD0-B624-944A0474DC32}" type="presOf" srcId="{36E5B5FE-7A44-47A1-8F92-B088257A2152}" destId="{D62CCB3D-C0B5-4702-B0E7-2BCC3AC6BED6}" srcOrd="0" destOrd="0" presId="urn:microsoft.com/office/officeart/2005/8/layout/default"/>
    <dgm:cxn modelId="{6FB92F6C-AADB-48F0-9938-16EE4D0BDE23}" type="presParOf" srcId="{906887FB-01DE-46E1-9312-97F8DF38EE6D}" destId="{41E36F34-9D51-413F-8CB8-323CFB9F70DD}" srcOrd="5" destOrd="0" presId="urn:microsoft.com/office/officeart/2005/8/layout/default"/>
    <dgm:cxn modelId="{773749A4-A106-4F21-90AB-963C3840DD6A}" type="presParOf" srcId="{906887FB-01DE-46E1-9312-97F8DF38EE6D}" destId="{65DCAB72-4323-4909-83B5-EA97756B63D0}" srcOrd="6" destOrd="0" presId="urn:microsoft.com/office/officeart/2005/8/layout/default"/>
    <dgm:cxn modelId="{BAD982CF-1E5B-4D6B-A4D2-82442F6A13BA}" type="presOf" srcId="{0C7D3D51-F412-476C-9C1C-D9011C5FB7E6}" destId="{65DCAB72-4323-4909-83B5-EA97756B63D0}" srcOrd="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080000" cy="3810000"/>
        <a:chOff x="0" y="0"/>
        <a:chExt cx="5080000" cy="3810000"/>
      </a:xfrm>
    </dsp:grpSpPr>
    <dsp:sp modelId="{8EA24BC0-0B8D-42E9-A25F-7CA5AD90CCA1}">
      <dsp:nvSpPr>
        <dsp:cNvPr id="3" name="矩形 2"/>
        <dsp:cNvSpPr/>
      </dsp:nvSpPr>
      <dsp:spPr bwMode="white">
        <a:xfrm>
          <a:off x="3225" y="333747"/>
          <a:ext cx="2418457" cy="1451074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9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224790" tIns="224790" rIns="224790" bIns="224790" anchor="ctr"/>
        <a:lstStyle>
          <a:lvl1pPr algn="ctr">
            <a:defRPr sz="5900"/>
          </a:lvl1pPr>
          <a:lvl2pPr marL="285750" indent="-285750" algn="ctr">
            <a:defRPr sz="4600"/>
          </a:lvl2pPr>
          <a:lvl3pPr marL="571500" indent="-285750" algn="ctr">
            <a:defRPr sz="4600"/>
          </a:lvl3pPr>
          <a:lvl4pPr marL="857250" indent="-285750" algn="ctr">
            <a:defRPr sz="4600"/>
          </a:lvl4pPr>
          <a:lvl5pPr marL="1143000" indent="-285750" algn="ctr">
            <a:defRPr sz="4600"/>
          </a:lvl5pPr>
          <a:lvl6pPr marL="1428750" indent="-285750" algn="ctr">
            <a:defRPr sz="4600"/>
          </a:lvl6pPr>
          <a:lvl7pPr marL="1714500" indent="-285750" algn="ctr">
            <a:defRPr sz="4600"/>
          </a:lvl7pPr>
          <a:lvl8pPr marL="2000250" indent="-285750" algn="ctr">
            <a:defRPr sz="4600"/>
          </a:lvl8pPr>
          <a:lvl9pPr marL="2286000" indent="-285750" algn="ctr">
            <a:defRPr sz="4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one</a:t>
          </a:r>
          <a:endParaRPr lang="zh-CN" altLang="en-US"/>
        </a:p>
      </dsp:txBody>
      <dsp:txXfrm>
        <a:off x="3225" y="333747"/>
        <a:ext cx="2418457" cy="1451074"/>
      </dsp:txXfrm>
    </dsp:sp>
    <dsp:sp modelId="{A3974D1E-D32E-47DA-BFE3-BD66226FC69C}">
      <dsp:nvSpPr>
        <dsp:cNvPr id="4" name="矩形 3"/>
        <dsp:cNvSpPr/>
      </dsp:nvSpPr>
      <dsp:spPr bwMode="white">
        <a:xfrm>
          <a:off x="2663527" y="333747"/>
          <a:ext cx="2418457" cy="1451074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76863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224790" tIns="224790" rIns="224790" bIns="224790" anchor="ctr"/>
        <a:lstStyle>
          <a:lvl1pPr algn="ctr">
            <a:defRPr sz="5900"/>
          </a:lvl1pPr>
          <a:lvl2pPr marL="285750" indent="-285750" algn="ctr">
            <a:defRPr sz="4600"/>
          </a:lvl2pPr>
          <a:lvl3pPr marL="571500" indent="-285750" algn="ctr">
            <a:defRPr sz="4600"/>
          </a:lvl3pPr>
          <a:lvl4pPr marL="857250" indent="-285750" algn="ctr">
            <a:defRPr sz="4600"/>
          </a:lvl4pPr>
          <a:lvl5pPr marL="1143000" indent="-285750" algn="ctr">
            <a:defRPr sz="4600"/>
          </a:lvl5pPr>
          <a:lvl6pPr marL="1428750" indent="-285750" algn="ctr">
            <a:defRPr sz="4600"/>
          </a:lvl6pPr>
          <a:lvl7pPr marL="1714500" indent="-285750" algn="ctr">
            <a:defRPr sz="4600"/>
          </a:lvl7pPr>
          <a:lvl8pPr marL="2000250" indent="-285750" algn="ctr">
            <a:defRPr sz="4600"/>
          </a:lvl8pPr>
          <a:lvl9pPr marL="2286000" indent="-285750" algn="ctr">
            <a:defRPr sz="4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two</a:t>
          </a:r>
          <a:endParaRPr lang="en-US" altLang="zh-CN"/>
        </a:p>
      </dsp:txBody>
      <dsp:txXfrm>
        <a:off x="2663527" y="333747"/>
        <a:ext cx="2418457" cy="1451074"/>
      </dsp:txXfrm>
    </dsp:sp>
    <dsp:sp modelId="{D62CCB3D-C0B5-4702-B0E7-2BCC3AC6BED6}">
      <dsp:nvSpPr>
        <dsp:cNvPr id="5" name="矩形 4"/>
        <dsp:cNvSpPr/>
      </dsp:nvSpPr>
      <dsp:spPr bwMode="white">
        <a:xfrm>
          <a:off x="3225" y="2025179"/>
          <a:ext cx="2418457" cy="1451074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63529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224790" tIns="224790" rIns="224790" bIns="224790" anchor="ctr"/>
        <a:lstStyle>
          <a:lvl1pPr algn="ctr">
            <a:defRPr sz="5900"/>
          </a:lvl1pPr>
          <a:lvl2pPr marL="285750" indent="-285750" algn="ctr">
            <a:defRPr sz="4600"/>
          </a:lvl2pPr>
          <a:lvl3pPr marL="571500" indent="-285750" algn="ctr">
            <a:defRPr sz="4600"/>
          </a:lvl3pPr>
          <a:lvl4pPr marL="857250" indent="-285750" algn="ctr">
            <a:defRPr sz="4600"/>
          </a:lvl4pPr>
          <a:lvl5pPr marL="1143000" indent="-285750" algn="ctr">
            <a:defRPr sz="4600"/>
          </a:lvl5pPr>
          <a:lvl6pPr marL="1428750" indent="-285750" algn="ctr">
            <a:defRPr sz="4600"/>
          </a:lvl6pPr>
          <a:lvl7pPr marL="1714500" indent="-285750" algn="ctr">
            <a:defRPr sz="4600"/>
          </a:lvl7pPr>
          <a:lvl8pPr marL="2000250" indent="-285750" algn="ctr">
            <a:defRPr sz="4600"/>
          </a:lvl8pPr>
          <a:lvl9pPr marL="2286000" indent="-285750" algn="ctr">
            <a:defRPr sz="4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three</a:t>
          </a:r>
          <a:endParaRPr lang="en-US" altLang="zh-CN"/>
        </a:p>
      </dsp:txBody>
      <dsp:txXfrm>
        <a:off x="3225" y="2025179"/>
        <a:ext cx="2418457" cy="1451074"/>
      </dsp:txXfrm>
    </dsp:sp>
    <dsp:sp modelId="{65DCAB72-4323-4909-83B5-EA97756B63D0}">
      <dsp:nvSpPr>
        <dsp:cNvPr id="6" name="矩形 5"/>
        <dsp:cNvSpPr/>
      </dsp:nvSpPr>
      <dsp:spPr bwMode="white">
        <a:xfrm>
          <a:off x="2663527" y="2025179"/>
          <a:ext cx="2418457" cy="1451074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5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224790" tIns="224790" rIns="224790" bIns="224790" anchor="ctr"/>
        <a:lstStyle>
          <a:lvl1pPr algn="ctr">
            <a:defRPr sz="5900"/>
          </a:lvl1pPr>
          <a:lvl2pPr marL="285750" indent="-285750" algn="ctr">
            <a:defRPr sz="4600"/>
          </a:lvl2pPr>
          <a:lvl3pPr marL="571500" indent="-285750" algn="ctr">
            <a:defRPr sz="4600"/>
          </a:lvl3pPr>
          <a:lvl4pPr marL="857250" indent="-285750" algn="ctr">
            <a:defRPr sz="4600"/>
          </a:lvl4pPr>
          <a:lvl5pPr marL="1143000" indent="-285750" algn="ctr">
            <a:defRPr sz="4600"/>
          </a:lvl5pPr>
          <a:lvl6pPr marL="1428750" indent="-285750" algn="ctr">
            <a:defRPr sz="4600"/>
          </a:lvl6pPr>
          <a:lvl7pPr marL="1714500" indent="-285750" algn="ctr">
            <a:defRPr sz="4600"/>
          </a:lvl7pPr>
          <a:lvl8pPr marL="2000250" indent="-285750" algn="ctr">
            <a:defRPr sz="4600"/>
          </a:lvl8pPr>
          <a:lvl9pPr marL="2286000" indent="-285750" algn="ctr">
            <a:defRPr sz="46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four</a:t>
          </a:r>
          <a:endParaRPr lang="en-US" altLang="zh-CN"/>
        </a:p>
      </dsp:txBody>
      <dsp:txXfrm>
        <a:off x="2663527" y="2025179"/>
        <a:ext cx="2418457" cy="14510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1346200" cy="1009650"/>
        <a:chOff x="0" y="0"/>
        <a:chExt cx="1346200" cy="1009650"/>
      </a:xfrm>
    </dsp:grpSpPr>
    <dsp:sp modelId="{8EA24BC0-0B8D-42E9-A25F-7CA5AD90CCA1}">
      <dsp:nvSpPr>
        <dsp:cNvPr id="3" name="矩形 2"/>
        <dsp:cNvSpPr/>
      </dsp:nvSpPr>
      <dsp:spPr bwMode="white">
        <a:xfrm>
          <a:off x="855" y="88443"/>
          <a:ext cx="640891" cy="384535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9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0" tIns="57150" rIns="57150" bIns="57150" anchor="ctr"/>
        <a:lstStyle>
          <a:lvl1pPr algn="ctr">
            <a:defRPr sz="1500"/>
          </a:lvl1pPr>
          <a:lvl2pPr marL="57150" indent="-57150" algn="ctr">
            <a:defRPr sz="1100"/>
          </a:lvl2pPr>
          <a:lvl3pPr marL="114300" indent="-57150" algn="ctr">
            <a:defRPr sz="1100"/>
          </a:lvl3pPr>
          <a:lvl4pPr marL="171450" indent="-57150" algn="ctr">
            <a:defRPr sz="1100"/>
          </a:lvl4pPr>
          <a:lvl5pPr marL="228600" indent="-57150" algn="ctr">
            <a:defRPr sz="1100"/>
          </a:lvl5pPr>
          <a:lvl6pPr marL="285750" indent="-57150" algn="ctr">
            <a:defRPr sz="1100"/>
          </a:lvl6pPr>
          <a:lvl7pPr marL="342900" indent="-57150" algn="ctr">
            <a:defRPr sz="1100"/>
          </a:lvl7pPr>
          <a:lvl8pPr marL="400050" indent="-57150" algn="ctr">
            <a:defRPr sz="1100"/>
          </a:lvl8pPr>
          <a:lvl9pPr marL="457200" indent="-57150" algn="ctr">
            <a:defRPr sz="11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eins</a:t>
          </a:r>
          <a:endParaRPr lang="en-US" altLang="zh-CN"/>
        </a:p>
      </dsp:txBody>
      <dsp:txXfrm>
        <a:off x="855" y="88443"/>
        <a:ext cx="640891" cy="384535"/>
      </dsp:txXfrm>
    </dsp:sp>
    <dsp:sp modelId="{A3974D1E-D32E-47DA-BFE3-BD66226FC69C}">
      <dsp:nvSpPr>
        <dsp:cNvPr id="4" name="矩形 3"/>
        <dsp:cNvSpPr/>
      </dsp:nvSpPr>
      <dsp:spPr bwMode="white">
        <a:xfrm>
          <a:off x="705835" y="88443"/>
          <a:ext cx="640891" cy="384535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76863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0" tIns="57150" rIns="57150" bIns="57150" anchor="ctr"/>
        <a:lstStyle>
          <a:lvl1pPr algn="ctr">
            <a:defRPr sz="1500"/>
          </a:lvl1pPr>
          <a:lvl2pPr marL="57150" indent="-57150" algn="ctr">
            <a:defRPr sz="1100"/>
          </a:lvl2pPr>
          <a:lvl3pPr marL="114300" indent="-57150" algn="ctr">
            <a:defRPr sz="1100"/>
          </a:lvl3pPr>
          <a:lvl4pPr marL="171450" indent="-57150" algn="ctr">
            <a:defRPr sz="1100"/>
          </a:lvl4pPr>
          <a:lvl5pPr marL="228600" indent="-57150" algn="ctr">
            <a:defRPr sz="1100"/>
          </a:lvl5pPr>
          <a:lvl6pPr marL="285750" indent="-57150" algn="ctr">
            <a:defRPr sz="1100"/>
          </a:lvl6pPr>
          <a:lvl7pPr marL="342900" indent="-57150" algn="ctr">
            <a:defRPr sz="1100"/>
          </a:lvl7pPr>
          <a:lvl8pPr marL="400050" indent="-57150" algn="ctr">
            <a:defRPr sz="1100"/>
          </a:lvl8pPr>
          <a:lvl9pPr marL="457200" indent="-57150" algn="ctr">
            <a:defRPr sz="11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zwei</a:t>
          </a:r>
          <a:endParaRPr lang="en-US" altLang="zh-CN"/>
        </a:p>
      </dsp:txBody>
      <dsp:txXfrm>
        <a:off x="705835" y="88443"/>
        <a:ext cx="640891" cy="384535"/>
      </dsp:txXfrm>
    </dsp:sp>
    <dsp:sp modelId="{D62CCB3D-C0B5-4702-B0E7-2BCC3AC6BED6}">
      <dsp:nvSpPr>
        <dsp:cNvPr id="5" name="矩形 4"/>
        <dsp:cNvSpPr/>
      </dsp:nvSpPr>
      <dsp:spPr bwMode="white">
        <a:xfrm>
          <a:off x="855" y="536672"/>
          <a:ext cx="640891" cy="384535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63529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0" tIns="57150" rIns="57150" bIns="57150" anchor="ctr"/>
        <a:lstStyle>
          <a:lvl1pPr algn="ctr">
            <a:defRPr sz="1500"/>
          </a:lvl1pPr>
          <a:lvl2pPr marL="57150" indent="-57150" algn="ctr">
            <a:defRPr sz="1100"/>
          </a:lvl2pPr>
          <a:lvl3pPr marL="114300" indent="-57150" algn="ctr">
            <a:defRPr sz="1100"/>
          </a:lvl3pPr>
          <a:lvl4pPr marL="171450" indent="-57150" algn="ctr">
            <a:defRPr sz="1100"/>
          </a:lvl4pPr>
          <a:lvl5pPr marL="228600" indent="-57150" algn="ctr">
            <a:defRPr sz="1100"/>
          </a:lvl5pPr>
          <a:lvl6pPr marL="285750" indent="-57150" algn="ctr">
            <a:defRPr sz="1100"/>
          </a:lvl6pPr>
          <a:lvl7pPr marL="342900" indent="-57150" algn="ctr">
            <a:defRPr sz="1100"/>
          </a:lvl7pPr>
          <a:lvl8pPr marL="400050" indent="-57150" algn="ctr">
            <a:defRPr sz="1100"/>
          </a:lvl8pPr>
          <a:lvl9pPr marL="457200" indent="-57150" algn="ctr">
            <a:defRPr sz="11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drei</a:t>
          </a:r>
          <a:endParaRPr lang="en-US" altLang="zh-CN"/>
        </a:p>
      </dsp:txBody>
      <dsp:txXfrm>
        <a:off x="855" y="536672"/>
        <a:ext cx="640891" cy="384535"/>
      </dsp:txXfrm>
    </dsp:sp>
    <dsp:sp modelId="{65DCAB72-4323-4909-83B5-EA97756B63D0}">
      <dsp:nvSpPr>
        <dsp:cNvPr id="6" name="矩形 5"/>
        <dsp:cNvSpPr/>
      </dsp:nvSpPr>
      <dsp:spPr bwMode="white">
        <a:xfrm>
          <a:off x="705835" y="536672"/>
          <a:ext cx="640891" cy="384535"/>
        </a:xfrm>
        <a:prstGeom prst="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5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0" tIns="57150" rIns="57150" bIns="57150" anchor="ctr"/>
        <a:lstStyle>
          <a:lvl1pPr algn="ctr">
            <a:defRPr sz="1500"/>
          </a:lvl1pPr>
          <a:lvl2pPr marL="57150" indent="-57150" algn="ctr">
            <a:defRPr sz="1100"/>
          </a:lvl2pPr>
          <a:lvl3pPr marL="114300" indent="-57150" algn="ctr">
            <a:defRPr sz="1100"/>
          </a:lvl3pPr>
          <a:lvl4pPr marL="171450" indent="-57150" algn="ctr">
            <a:defRPr sz="1100"/>
          </a:lvl4pPr>
          <a:lvl5pPr marL="228600" indent="-57150" algn="ctr">
            <a:defRPr sz="1100"/>
          </a:lvl5pPr>
          <a:lvl6pPr marL="285750" indent="-57150" algn="ctr">
            <a:defRPr sz="1100"/>
          </a:lvl6pPr>
          <a:lvl7pPr marL="342900" indent="-57150" algn="ctr">
            <a:defRPr sz="1100"/>
          </a:lvl7pPr>
          <a:lvl8pPr marL="400050" indent="-57150" algn="ctr">
            <a:defRPr sz="1100"/>
          </a:lvl8pPr>
          <a:lvl9pPr marL="457200" indent="-57150" algn="ctr">
            <a:defRPr sz="11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vier</a:t>
          </a:r>
          <a:endParaRPr lang="en-US" altLang="zh-CN"/>
        </a:p>
      </dsp:txBody>
      <dsp:txXfrm>
        <a:off x="705835" y="536672"/>
        <a:ext cx="640891" cy="3845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off" val="ctr"/>
          <dgm:param type="contDir" val="sameDir"/>
          <dgm:param type="grDir" val="tL"/>
          <dgm:param type="flowDir" val="row"/>
        </dgm:alg>
      </dgm:if>
      <dgm:else name="Name2">
        <dgm:alg type="snake">
          <dgm:param type="off" val="ctr"/>
          <dgm:param type="contDir" val="sameDir"/>
          <dgm:param type="grDir" val="tR"/>
          <dgm:param type="flowDir" val="row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off" val="ctr"/>
          <dgm:param type="contDir" val="sameDir"/>
          <dgm:param type="grDir" val="tL"/>
          <dgm:param type="flowDir" val="row"/>
        </dgm:alg>
      </dgm:if>
      <dgm:else name="Name2">
        <dgm:alg type="snake">
          <dgm:param type="off" val="ctr"/>
          <dgm:param type="contDir" val="sameDir"/>
          <dgm:param type="grDir" val="tR"/>
          <dgm:param type="flowDir" val="row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2013-12-26T07:15:00Z</dcterms:created>
  <dc:creator>python-docx</dc:creator>
  <dc:description>generated by python-docx</dc:description>
  <cp:lastModifiedBy>Tong</cp:lastModifiedBy>
  <dcterms:modified xsi:type="dcterms:W3CDTF">2026-07-07T16:39:20Z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8B78AE4A247D7450D6AF456A92363812_42</vt:lpwstr>
  </property>
</Properties>
</file>