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澄川社区微项目评审纪要</w:t>
      </w:r>
    </w:p>
    <w:p>
      <w:r>
        <w:t>DocQA 合成评估材料；全部机构、研究、日期与数字均为虚构；CC0-1.0；不得作为真实研究或业务依据。</w:t>
      </w:r>
    </w:p>
    <w:p>
      <w:pPr>
        <w:pStyle w:val="Heading1"/>
      </w:pPr>
      <w:r>
        <w:t>F06 材料段落6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条件与适用范围</w:t>
            </w:r>
          </w:p>
        </w:tc>
      </w:tr>
      <w:tr>
        <w:tc>
          <w:tcPr>
            <w:tcW w:type="dxa" w:w="4320"/>
          </w:tcPr>
          <w:p>
            <w:r>
              <w:t>F06</w:t>
            </w:r>
          </w:p>
        </w:tc>
        <w:tc>
          <w:tcPr>
            <w:tcW w:type="dxa" w:w="4320"/>
          </w:tcPr>
          <w:p>
            <w:r>
              <w:t>评委与申请方有亲属或合作关系时须回避，回避后不足3名评委的项目延期评审。</w:t>
            </w:r>
          </w:p>
        </w:tc>
      </w:tr>
      <w:tr>
        <w:tc>
          <w:tcPr>
            <w:tcW w:type="dxa" w:w="4320"/>
          </w:tcPr>
          <w:p>
            <w:r>
              <w:t>核对说明</w:t>
            </w:r>
          </w:p>
        </w:tc>
        <w:tc>
          <w:tcPr>
            <w:tcW w:type="dxa" w:w="4320"/>
          </w:tcPr>
          <w:p>
            <w:r>
              <w:t>合并表头适用于整组条件，例外必须随事实保留。</w:t>
            </w:r>
          </w:p>
        </w:tc>
      </w:tr>
    </w:tbl>
    <w:p>
      <w:pPr>
        <w:pStyle w:val="Heading2"/>
      </w:pPr>
      <w:r>
        <w:t>F01 材料段落1</w:t>
      </w:r>
    </w:p>
    <w:p>
      <w:r>
        <w:t>虚构的澄川社区在2025年第二季度收到12份微项目申请，评审纪要覆盖其中10份完整申请。</w:t>
      </w:r>
    </w:p>
    <w:p>
      <w:pPr>
        <w:pStyle w:val="Heading2"/>
      </w:pPr>
      <w:r>
        <w:t>F03 材料段落3</w:t>
      </w:r>
    </w:p>
    <w:p>
      <w:r>
        <w:t>变更记录先说明回避要求，正文随后按资格、评分、公示三个阶段记录决定。</w:t>
      </w:r>
    </w:p>
    <w:p>
      <w:pPr>
        <w:pStyle w:val="Heading1"/>
      </w:pPr>
      <w:r>
        <w:t>F04 材料段落4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条件与适用范围</w:t>
            </w:r>
          </w:p>
        </w:tc>
      </w:tr>
      <w:tr>
        <w:tc>
          <w:tcPr>
            <w:tcW w:type="dxa" w:w="4320"/>
          </w:tcPr>
          <w:p>
            <w:r>
              <w:t>F04</w:t>
            </w:r>
          </w:p>
        </w:tc>
        <w:tc>
          <w:tcPr>
            <w:tcW w:type="dxa" w:w="4320"/>
          </w:tcPr>
          <w:p>
            <w:r>
              <w:t>评分包括公共收益40分、可实施性35分、持续维护25分，满分100分。</w:t>
            </w:r>
          </w:p>
        </w:tc>
      </w:tr>
      <w:tr>
        <w:tc>
          <w:tcPr>
            <w:tcW w:type="dxa" w:w="4320"/>
          </w:tcPr>
          <w:p>
            <w:r>
              <w:t>核对说明</w:t>
            </w:r>
          </w:p>
        </w:tc>
        <w:tc>
          <w:tcPr>
            <w:tcW w:type="dxa" w:w="4320"/>
          </w:tcPr>
          <w:p>
            <w:r>
              <w:t>合并表头适用于整组条件，例外必须随事实保留。</w:t>
            </w:r>
          </w:p>
        </w:tc>
      </w:tr>
    </w:tbl>
    <w:p>
      <w:r>
        <w:br w:type="page"/>
      </w:r>
    </w:p>
    <w:p>
      <w:pPr>
        <w:pStyle w:val="Heading2"/>
      </w:pPr>
      <w:r>
        <w:t>F02 材料段落2</w:t>
      </w:r>
    </w:p>
    <w:p>
      <w:r>
        <w:t>获支持项目为6个，支持金额合计18万元；另2份不完整申请未进入评分分母。</w:t>
      </w:r>
    </w:p>
    <w:p>
      <w:pPr>
        <w:pStyle w:val="Heading2"/>
      </w:pPr>
      <w:r>
        <w:t>F05 材料段落5</w:t>
      </w:r>
    </w:p>
    <w:p>
      <w:r>
        <w:t>演练时使用的示例总额为20万元，不是本轮实际支持金额。</w:t>
      </w:r>
    </w:p>
    <w:p>
      <w:pPr>
        <w:pStyle w:val="Heading1"/>
      </w:pPr>
      <w:r>
        <w:t>F07 材料段落7</w:t>
      </w:r>
    </w:p>
    <w:p>
      <w:r>
        <w:t>项目乙因回避后仅余2名评委而延期；延期不等于项目被否决。</w:t>
      </w:r>
    </w:p>
    <w:p>
      <w:pPr>
        <w:pStyle w:val="Heading2"/>
      </w:pPr>
      <w:r>
        <w:t>F10 材料段落10</w:t>
      </w:r>
    </w:p>
    <w:p>
      <w:r>
        <w:t>附件中的手写备注只是复核线索，须与签字决定分开引用。</w:t>
      </w:r>
    </w:p>
    <w:p>
      <w:r>
        <w:br w:type="page"/>
      </w:r>
    </w:p>
    <w:p>
      <w:pPr>
        <w:pStyle w:val="Heading2"/>
      </w:pPr>
      <w:r>
        <w:t>F08 材料段落8</w:t>
      </w:r>
    </w:p>
    <w:p>
      <w:r>
        <w:t>末尾附件保留一份未签字的异议记录，金额争议未裁决，不能认定额外拨款已获批。</w:t>
      </w:r>
    </w:p>
    <w:p>
      <w:pPr>
        <w:pStyle w:val="Heading1"/>
      </w:pPr>
      <w:r>
        <w:t>F09 材料段落9</w:t>
      </w:r>
    </w:p>
    <w:p>
      <w:r>
        <w:t>纪要没有项目执行后的满意度调查，也未报告资金支出审计结论。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DocQA synthetic corpus</dc:creator>
  <cp:keywords/>
  <dc:description>generated by python-docx</dc:description>
  <cp:lastModifiedBy/>
  <cp:revision>1</cp:revision>
  <dcterms:created xsi:type="dcterms:W3CDTF">2025-01-01T00:00:00Z</dcterms:created>
  <dcterms:modified xsi:type="dcterms:W3CDTF">2025-01-01T00:00:00Z</dcterms:modified>
  <cp:category/>
</cp:coreProperties>
</file>