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晨星设备巡检与异常处置作业书</w:t>
      </w:r>
    </w:p>
    <w:p>
      <w:r>
        <w:t>DocQA 合成评估材料；全部机构、研究、日期与数字均为虚构；CC0-1.0；不得作为真实研究或业务依据。</w:t>
      </w:r>
    </w:p>
    <w:p>
      <w:pPr>
        <w:pStyle w:val="Heading1"/>
      </w:pPr>
      <w:r>
        <w:t>F01 材料段落1</w:t>
      </w:r>
    </w:p>
    <w:p>
      <w:r>
        <w:t>虚构的晨星车间作业书适用于三台低压测试设备，2025年4月修订，不适用于高压线路。</w:t>
      </w:r>
    </w:p>
    <w:p>
      <w:pPr>
        <w:pStyle w:val="Heading2"/>
      </w:pPr>
      <w:r>
        <w:t>F02 材料段落2</w:t>
      </w:r>
    </w:p>
    <w:p>
      <w:r>
        <w:t>巡检频率为每班一次，温度报警阈值为65摄氏度；阈值不是允许持续工作温度。</w:t>
      </w:r>
    </w:p>
    <w:p>
      <w:pPr>
        <w:pStyle w:val="Heading2"/>
      </w:pPr>
      <w:r>
        <w:t>F03 材料段落3</w:t>
      </w:r>
    </w:p>
    <w:p>
      <w:r>
        <w:t>作业顺序为断开试验负载、外观检查、空载测量、填写记录。</w:t>
      </w:r>
    </w:p>
    <w:p>
      <w:pPr>
        <w:pStyle w:val="Heading1"/>
      </w:pPr>
      <w:r>
        <w:t>F04 材料段落4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条件与适用范围</w:t>
            </w:r>
          </w:p>
        </w:tc>
      </w:tr>
      <w:tr>
        <w:tc>
          <w:tcPr>
            <w:tcW w:type="dxa" w:w="4320"/>
          </w:tcPr>
          <w:p>
            <w:r>
              <w:t>F04</w:t>
            </w:r>
          </w:p>
        </w:tc>
        <w:tc>
          <w:tcPr>
            <w:tcW w:type="dxa" w:w="4320"/>
          </w:tcPr>
          <w:p>
            <w:r>
              <w:t>异常分为温升异常、接地异常、显示异常；接地异常必须停机并通知电气负责人。</w:t>
            </w:r>
          </w:p>
        </w:tc>
      </w:tr>
      <w:tr>
        <w:tc>
          <w:tcPr>
            <w:tcW w:type="dxa" w:w="4320"/>
          </w:tcPr>
          <w:p>
            <w:r>
              <w:t>核对说明</w:t>
            </w:r>
          </w:p>
        </w:tc>
        <w:tc>
          <w:tcPr>
            <w:tcW w:type="dxa" w:w="4320"/>
          </w:tcPr>
          <w:p>
            <w:r>
              <w:t>合并表头适用于整组条件，例外必须随事实保留。</w:t>
            </w:r>
          </w:p>
        </w:tc>
      </w:tr>
    </w:tbl>
    <w:p>
      <w:r>
        <w:br w:type="page"/>
      </w:r>
    </w:p>
    <w:p>
      <w:pPr>
        <w:pStyle w:val="Heading2"/>
      </w:pPr>
      <w:r>
        <w:t>F05 材料段落5</w:t>
      </w:r>
    </w:p>
    <w:p>
      <w:r>
        <w:t>培训图示采用220伏作为说明，不能据图示判断所有设备额定电压。</w:t>
      </w:r>
    </w:p>
    <w:p>
      <w:pPr>
        <w:pStyle w:val="Heading2"/>
      </w:pPr>
      <w:r>
        <w:t>F06 材料段落6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条件与适用范围</w:t>
            </w:r>
          </w:p>
        </w:tc>
      </w:tr>
      <w:tr>
        <w:tc>
          <w:tcPr>
            <w:tcW w:type="dxa" w:w="4320"/>
          </w:tcPr>
          <w:p>
            <w:r>
              <w:t>F06</w:t>
            </w:r>
          </w:p>
        </w:tc>
        <w:tc>
          <w:tcPr>
            <w:tcW w:type="dxa" w:w="4320"/>
          </w:tcPr>
          <w:p>
            <w:r>
              <w:t>普通显示异常可复测一次；发现异味或烟雾时禁止复测，立即停机并启动现场应急流程。</w:t>
            </w:r>
          </w:p>
        </w:tc>
      </w:tr>
      <w:tr>
        <w:tc>
          <w:tcPr>
            <w:tcW w:type="dxa" w:w="4320"/>
          </w:tcPr>
          <w:p>
            <w:r>
              <w:t>核对说明</w:t>
            </w:r>
          </w:p>
        </w:tc>
        <w:tc>
          <w:tcPr>
            <w:tcW w:type="dxa" w:w="4320"/>
          </w:tcPr>
          <w:p>
            <w:r>
              <w:t>合并表头适用于整组条件，例外必须随事实保留。</w:t>
            </w:r>
          </w:p>
        </w:tc>
      </w:tr>
    </w:tbl>
    <w:p>
      <w:pPr>
        <w:pStyle w:val="Heading1"/>
      </w:pPr>
      <w:r>
        <w:t>F07 材料段落7</w:t>
      </w:r>
    </w:p>
    <w:p>
      <w:r>
        <w:t>本次修订新增双人复核，复核者不得是同次测量人；横向附件保存签名位置。</w:t>
      </w:r>
    </w:p>
    <w:p>
      <w:pPr>
        <w:pStyle w:val="Heading2"/>
      </w:pPr>
      <w:r>
        <w:t>F08 材料段落8</w:t>
      </w:r>
    </w:p>
    <w:p>
      <w:r>
        <w:t>末页强调本作业书不代替设备原厂规程，有冲突时先停机申请技术裁定。</w:t>
      </w:r>
    </w:p>
    <w:p>
      <w:r>
        <w:br w:type="page"/>
      </w:r>
    </w:p>
    <w:p>
      <w:pPr>
        <w:pStyle w:val="Heading2"/>
      </w:pPr>
      <w:r>
        <w:t>F09 材料段落9</w:t>
      </w:r>
    </w:p>
    <w:p>
      <w:r>
        <w:t>作业书没有维修报价，也未列出设备剩余寿命。</w:t>
      </w:r>
    </w:p>
    <w:p>
      <w:pPr>
        <w:pStyle w:val="Heading1"/>
      </w:pPr>
      <w:r>
        <w:t>F10 材料段落10</w:t>
      </w:r>
    </w:p>
    <w:p>
      <w:r>
        <w:t>表格合并单元格中的适用范围覆盖其下三项步骤，不能仅归给第一行。</w:t>
      </w:r>
    </w:p>
    <w:sectPr w:rsidR="00FC693F" w:rsidRPr="0006063C" w:rsidSect="00034616">
      <w:pgSz w:w="15840" w:h="12240" w:orient="landscape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DocQA synthetic corpus</dc:creator>
  <cp:keywords/>
  <dc:description>generated by python-docx</dc:description>
  <cp:lastModifiedBy/>
  <cp:revision>1</cp:revision>
  <dcterms:created xsi:type="dcterms:W3CDTF">2025-01-01T00:00:00Z</dcterms:created>
  <dcterms:modified xsi:type="dcterms:W3CDTF">2025-01-01T00:00:00Z</dcterms:modified>
  <cp:category/>
</cp:coreProperties>
</file>