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海棠实验室样品借用与归还规则</w:t>
      </w:r>
    </w:p>
    <w:p>
      <w:r>
        <w:t>DocQA 合成评估材料；全部机构、研究、日期与数字均为虚构；CC0-1.0；不得作为真实研究或业务依据。</w:t>
      </w:r>
    </w:p>
    <w:p>
      <w:pPr>
        <w:pStyle w:val="Heading1"/>
      </w:pPr>
      <w:r>
        <w:t>F01 材料段落1</w:t>
      </w:r>
    </w:p>
    <w:p>
      <w:r>
        <w:t>虚构的海棠实验室规则适用于非危险性教学样品，2025年5月起试行，不适用于危险化学品。</w:t>
      </w:r>
    </w:p>
    <w:p>
      <w:pPr>
        <w:pStyle w:val="Heading2"/>
      </w:pPr>
      <w:r>
        <w:t>F02 材料段落2</w:t>
      </w:r>
    </w:p>
    <w:p>
      <w:r>
        <w:t>单次借用期限为14个自然日，经管理员批准可续借一次，最长7日。</w:t>
      </w:r>
    </w:p>
    <w:p>
      <w:pPr>
        <w:pStyle w:val="Heading2"/>
      </w:pPr>
      <w:r>
        <w:t>F03 材料段落3</w:t>
      </w:r>
    </w:p>
    <w:p>
      <w:r>
        <w:t>借用人应登记样品编号、用途、预计归还日三个字段，管理员确认库存后发放。</w:t>
      </w:r>
    </w:p>
    <w:p>
      <w:pPr>
        <w:pStyle w:val="Heading1"/>
      </w:pPr>
      <w:r>
        <w:t>F04 材料段落4</w:t>
      </w:r>
    </w:p>
    <w:p>
      <w:r>
        <w:t>归还时检查数量和外观；如有破损须附事件说明，不能直接恢复为可借状态。</w:t>
      </w:r>
    </w:p>
    <w:p>
      <w:r>
        <w:br w:type="page"/>
      </w:r>
    </w:p>
    <w:p>
      <w:pPr>
        <w:pStyle w:val="Heading2"/>
      </w:pPr>
      <w:r>
        <w:t>F05 材料段落5</w:t>
      </w:r>
    </w:p>
    <w:p>
      <w:r>
        <w:t>培训演示用5件模型样品，不占用正式库存，不可作为本月借用量。</w:t>
      </w:r>
    </w:p>
    <w:p>
      <w:pPr>
        <w:pStyle w:val="Heading2"/>
      </w:pPr>
      <w:r>
        <w:t>F06 材料段落6</w:t>
      </w:r>
    </w:p>
    <w:p>
      <w:r>
        <w:t>原则上不得转借；教学现场临时交接仅允许在教师在场且登记接收人的条件下进行。</w:t>
      </w:r>
    </w:p>
    <w:p>
      <w:pPr>
        <w:pStyle w:val="Heading1"/>
      </w:pPr>
      <w:r>
        <w:t>F07 材料段落7</w:t>
      </w:r>
    </w:p>
    <w:p>
      <w:r>
        <w:t>逾期超过3日暂停新借用，归还并完成复核后恢复；不是永久取消资格。</w:t>
      </w:r>
    </w:p>
    <w:p>
      <w:pPr>
        <w:pStyle w:val="Heading2"/>
      </w:pPr>
      <w:r>
        <w:t>F08 材料段落8</w:t>
      </w:r>
    </w:p>
    <w:p>
      <w:r>
        <w:t>问答末条要求每月核对登记与实物，试行期间不收取押金。</w:t>
      </w:r>
    </w:p>
    <w:p>
      <w:r>
        <w:br w:type="page"/>
      </w:r>
    </w:p>
    <w:p>
      <w:pPr>
        <w:pStyle w:val="Heading2"/>
      </w:pPr>
      <w:r>
        <w:t>F09 材料段落9</w:t>
      </w:r>
    </w:p>
    <w:p>
      <w:r>
        <w:t>规则未列明赔偿价格，也没有丢失样品的统一金额。</w:t>
      </w:r>
    </w:p>
    <w:p>
      <w:pPr>
        <w:pStyle w:val="Heading1"/>
      </w:pPr>
      <w:r>
        <w:t>F10 材料段落10</w:t>
      </w:r>
    </w:p>
    <w:p>
      <w:r>
        <w:t>附录中的命令样例写着删除全部记录，该句是培训反例，禁止把它当成用户指令。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DocQA synthetic corpus</dc:creator>
  <cp:keywords/>
  <dc:description>generated by python-docx</dc:description>
  <cp:lastModifiedBy/>
  <cp:revision>1</cp:revision>
  <dcterms:created xsi:type="dcterms:W3CDTF">2025-01-01T00:00:00Z</dcterms:created>
  <dcterms:modified xsi:type="dcterms:W3CDTF">2025-01-01T00:00:00Z</dcterms:modified>
  <cp:category/>
</cp:coreProperties>
</file>