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南岸社区活动场地预约修订说明</w:t>
      </w:r>
    </w:p>
    <w:p>
      <w:r>
        <w:t>DocQA 合成评估材料；全部机构、研究、日期与数字均为虚构；CC0-1.0；不得作为真实研究或业务依据。</w:t>
      </w:r>
    </w:p>
    <w:p>
      <w:pPr>
        <w:pStyle w:val="Heading1"/>
      </w:pPr>
      <w:r>
        <w:t>F06 材料段落6</w:t>
      </w:r>
    </w:p>
    <w:p>
      <w:r>
        <w:t>常规申请提前5个工作日提交；防灾宣讲经值班负责人批准可以当天受理。</w:t>
      </w:r>
    </w:p>
    <w:p>
      <w:pPr>
        <w:pStyle w:val="Heading2"/>
      </w:pPr>
      <w:r>
        <w:t>F01 材料段落1</w:t>
      </w:r>
    </w:p>
    <w:p>
      <w:r>
        <w:t>虚构的南岸社区修订说明面向公益活动组织者，适用于A厅与户外广场，自2025年8月15日起执行。</w:t>
      </w:r>
    </w:p>
    <w:p>
      <w:pPr>
        <w:pStyle w:val="Heading2"/>
      </w:pPr>
      <w:r>
        <w:t>F03 材料段落3</w:t>
      </w:r>
    </w:p>
    <w:p>
      <w:r>
        <w:t>决策树先判断公益属性，再检查场地容量，最后核对噪声时段；三项均满足才进入审批。</w:t>
      </w:r>
    </w:p>
    <w:p>
      <w:pPr>
        <w:pStyle w:val="Heading1"/>
      </w:pPr>
      <w:r>
        <w:t>F04 材料段落4</w:t>
      </w:r>
    </w:p>
    <w:p>
      <w:r>
        <w:t>申请须提供活动方案和负责人联系方式，面向儿童时还须提供监护安排。</w:t>
      </w:r>
    </w:p>
    <w:p>
      <w:r>
        <w:br w:type="page"/>
      </w:r>
    </w:p>
    <w:p>
      <w:pPr>
        <w:pStyle w:val="Heading2"/>
      </w:pPr>
      <w:r>
        <w:t>F02 材料段落2</w:t>
      </w:r>
    </w:p>
    <w:p>
      <w:r>
        <w:t>A厅单场人数不得超过80人；户外广场上限为150人，雨天另按安全评估决定是否开放。</w:t>
      </w:r>
    </w:p>
    <w:p>
      <w:pPr>
        <w:pStyle w:val="Heading2"/>
      </w:pPr>
      <w:r>
        <w:t>F05 材料段落5</w:t>
      </w:r>
    </w:p>
    <w:p>
      <w:r>
        <w:t>修订讨论曾提出每场押金500元，但该提案未通过，不能当作现行收费标准。</w:t>
      </w:r>
    </w:p>
    <w:p>
      <w:pPr>
        <w:pStyle w:val="Heading1"/>
      </w:pPr>
      <w:r>
        <w:t>F07 材料段落7</w:t>
      </w:r>
    </w:p>
    <w:p>
      <w:r>
        <w:t>修订单取消了每周仅限一场的旧限制，仍保留同一时间不可重复占用。</w:t>
      </w:r>
    </w:p>
    <w:p>
      <w:pPr>
        <w:pStyle w:val="Heading2"/>
      </w:pPr>
      <w:r>
        <w:t>F10 材料段落10</w:t>
      </w:r>
    </w:p>
    <w:p>
      <w:r>
        <w:t>决策树虚线指向人工复核，不能理解为自动批准。</w:t>
      </w:r>
    </w:p>
    <w:p>
      <w:r>
        <w:br w:type="page"/>
      </w:r>
    </w:p>
    <w:p>
      <w:pPr>
        <w:pStyle w:val="Heading2"/>
      </w:pPr>
      <w:r>
        <w:t>F08 材料段落8</w:t>
      </w:r>
    </w:p>
    <w:p>
      <w:r>
        <w:t>附页保留两份互相矛盾的旧草案，均无生效章；不能据草案认定2024年规则。</w:t>
      </w:r>
    </w:p>
    <w:p>
      <w:pPr>
        <w:pStyle w:val="Heading1"/>
      </w:pPr>
      <w:r>
        <w:t>F09 材料段落9</w:t>
      </w:r>
    </w:p>
    <w:p>
      <w:r>
        <w:t>现行说明未规定商业活动租金，也未提供节假日加价表。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DocQA synthetic corpus</dc:creator>
  <cp:keywords/>
  <dc:description>generated by python-docx</dc:description>
  <cp:lastModifiedBy/>
  <cp:revision>1</cp:revision>
  <dcterms:created xsi:type="dcterms:W3CDTF">2025-01-01T00:00:00Z</dcterms:created>
  <dcterms:modified xsi:type="dcterms:W3CDTF">2025-01-01T00:00:00Z</dcterms:modified>
  <cp:category/>
</cp:coreProperties>
</file>