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启明研究所差旅报销试行办法</w:t>
      </w:r>
    </w:p>
    <w:p>
      <w:r>
        <w:t>DocQA 合成评估材料；全部机构、研究、日期与数字均为虚构；CC0-1.0；不得作为真实研究或业务依据。</w:t>
      </w:r>
    </w:p>
    <w:p>
      <w:pPr>
        <w:pStyle w:val="Heading1"/>
      </w:pPr>
      <w:r>
        <w:t>F01 材料段落1</w:t>
      </w:r>
    </w:p>
    <w:p>
      <w:r>
        <w:t>虚构的启明研究所本办法自2025年1月1日起施行，仅适用于正式员工的境内公务出差。</w:t>
      </w:r>
    </w:p>
    <w:p>
      <w:pPr>
        <w:pStyle w:val="Heading2"/>
      </w:pPr>
      <w:r>
        <w:t>F02 材料段落2</w:t>
      </w:r>
    </w:p>
    <w:p>
      <w:r>
        <w:t>住宿上限为每人每晚480元；偏远地区无合规住宿时，事前审批后可据实报销。</w:t>
      </w:r>
    </w:p>
    <w:p>
      <w:pPr>
        <w:pStyle w:val="Heading2"/>
      </w:pPr>
      <w:r>
        <w:t>F03 材料段落3</w:t>
      </w:r>
    </w:p>
    <w:p>
      <w:r>
        <w:t>申请依次经过部门确认、财务额度核查、负责人批准三个步骤。</w:t>
      </w:r>
    </w:p>
    <w:p>
      <w:pPr>
        <w:pStyle w:val="Heading1"/>
      </w:pPr>
      <w:r>
        <w:t>F04 材料段落4</w:t>
      </w:r>
    </w:p>
    <w:p>
      <w:r>
        <w:t>报销材料包括出差审批单、合规票据、行程说明；缺票不能仅凭行程说明报销。</w:t>
      </w:r>
    </w:p>
    <w:p>
      <w:r>
        <w:br w:type="page"/>
      </w:r>
    </w:p>
    <w:p>
      <w:pPr>
        <w:pStyle w:val="Heading2"/>
      </w:pPr>
      <w:r>
        <w:t>F05 材料段落5</w:t>
      </w:r>
    </w:p>
    <w:p>
      <w:r>
        <w:t>培训时展示的示例预算为3000元；这不是每人差旅补助或统一报销上限。</w:t>
      </w:r>
    </w:p>
    <w:p>
      <w:pPr>
        <w:pStyle w:val="Heading2"/>
      </w:pPr>
      <w:r>
        <w:t>F06 材料段落6</w:t>
      </w:r>
    </w:p>
    <w:p>
      <w:r>
        <w:t>一般应在返程后30日内提交；因住院不能提交的，出院后15日内补交并附证明。</w:t>
      </w:r>
    </w:p>
    <w:p>
      <w:pPr>
        <w:pStyle w:val="Heading1"/>
      </w:pPr>
      <w:r>
        <w:t>F07 材料段落7</w:t>
      </w:r>
    </w:p>
    <w:p>
      <w:r>
        <w:t>城市内交通按实际票据报销，不另发固定交通补贴；私人行程费用由本人承担。</w:t>
      </w:r>
    </w:p>
    <w:p>
      <w:pPr>
        <w:pStyle w:val="Heading2"/>
      </w:pPr>
      <w:r>
        <w:t>F08 材料段落8</w:t>
      </w:r>
    </w:p>
    <w:p>
      <w:r>
        <w:t>附则规定试行期为6个月，结束后须重新评估；没有自动永久有效条款。</w:t>
      </w:r>
    </w:p>
    <w:p>
      <w:r>
        <w:br w:type="page"/>
      </w:r>
    </w:p>
    <w:p>
      <w:pPr>
        <w:pStyle w:val="Heading2"/>
      </w:pPr>
      <w:r>
        <w:t>F09 材料段落9</w:t>
      </w:r>
    </w:p>
    <w:p>
      <w:r>
        <w:t>本办法未规定境外出差标准，也未给出离职人员追偿规则。</w:t>
      </w:r>
    </w:p>
    <w:p>
      <w:pPr>
        <w:pStyle w:val="Heading1"/>
      </w:pPr>
      <w:r>
        <w:t>F10 材料段落10</w:t>
      </w:r>
    </w:p>
    <w:p>
      <w:r>
        <w:t>旧邮件曾写住宿上限450元，邮件无生效日期，本办法不授权据邮件倒推历史期间。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DocQA synthetic corpus</dc:creator>
  <cp:keywords/>
  <dc:description>generated by python-docx</dc:description>
  <cp:lastModifiedBy/>
  <cp:revision>1</cp:revision>
  <dcterms:created xsi:type="dcterms:W3CDTF">2025-01-01T00:00:00Z</dcterms:created>
  <dcterms:modified xsi:type="dcterms:W3CDTF">2025-01-01T00:00:00Z</dcterms:modified>
  <cp:category/>
</cp:coreProperties>
</file>