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SAR210六轴L腕机器人总装</w:t>
      </w:r>
    </w:p>
    <w:p>
      <w:pPr>
        <w:jc w:val="center"/>
        <w:rPr>
          <w:sz w:val="21"/>
        </w:rPr>
      </w:pPr>
      <w:r>
        <w:drawing>
          <wp:inline distT="0" distB="0" distL="114300" distR="114300">
            <wp:extent cx="5057775" cy="7156450"/>
            <wp:effectExtent l="0" t="0" r="9525" b="635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SAR210六轴L腕机器人正运动学</w:t>
      </w:r>
    </w:p>
    <w:p>
      <w:pPr>
        <w:numPr>
          <w:ilvl w:val="1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等效转换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定义：关节空间下，l2为J2相对其零位的线位移AA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，l3为J3相对其零位的线位移CC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；以J3轴铰接点C所在Z平面为参考面。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低于参考面BC时：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057525" cy="2779395"/>
            <wp:effectExtent l="0" t="0" r="9525" b="1905"/>
            <wp:docPr id="6" name="图片 6" descr="C:\Users\NeverRobot\Desktop\坐标系-第 4 页.drawio.png坐标系-第 4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everRobot\Desktop\坐标系-第 4 页.drawio.png坐标系-第 4 页.drawi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0"/>
          <w:sz w:val="21"/>
          <w:lang w:val="en-US" w:eastAsia="zh-CN"/>
        </w:rPr>
      </w:pPr>
      <w:r>
        <w:rPr>
          <w:rFonts w:hint="eastAsia"/>
          <w:position w:val="-136"/>
          <w:sz w:val="21"/>
          <w:lang w:val="en-US" w:eastAsia="zh-CN"/>
        </w:rPr>
        <w:object>
          <v:shape id="_x0000_i1025" o:spt="75" type="#_x0000_t75" style="height:142pt;width:3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0"/>
          <w:sz w:val="21"/>
          <w:lang w:val="en-US" w:eastAsia="zh-CN"/>
        </w:rPr>
      </w:pPr>
      <w:r>
        <w:rPr>
          <w:rFonts w:hint="eastAsia"/>
          <w:position w:val="-128"/>
          <w:sz w:val="21"/>
          <w:lang w:val="en-US" w:eastAsia="zh-CN"/>
        </w:rPr>
        <w:object>
          <v:shape id="_x0000_i1026" o:spt="75" type="#_x0000_t75" style="height:134pt;width:2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position w:val="-10"/>
          <w:sz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当J2轴铰接点A’高于参考面BC时：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1"/>
          <w:lang w:val="en-US" w:eastAsia="zh-CN"/>
        </w:rPr>
        <w:drawing>
          <wp:inline distT="0" distB="0" distL="114300" distR="114300">
            <wp:extent cx="2962275" cy="2771775"/>
            <wp:effectExtent l="0" t="0" r="9525" b="9525"/>
            <wp:docPr id="7" name="图片 7" descr="C:\Users\NeverRobot\Desktop\坐标系-第 5 页.drawio.png坐标系-第 5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NeverRobot\Desktop\坐标系-第 5 页.drawio.png坐标系-第 5 页.drawio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position w:val="-10"/>
          <w:sz w:val="21"/>
          <w:lang w:val="en-US" w:eastAsia="zh-CN"/>
        </w:rPr>
      </w:pPr>
      <w:r>
        <w:rPr>
          <w:rFonts w:hint="eastAsia"/>
          <w:position w:val="-136"/>
          <w:sz w:val="21"/>
          <w:lang w:val="en-US" w:eastAsia="zh-CN"/>
        </w:rPr>
        <w:object>
          <v:shape id="_x0000_i1027" o:spt="75" alt="" type="#_x0000_t75" style="height:142pt;width:33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position w:val="-10"/>
          <w:sz w:val="21"/>
          <w:lang w:val="en-US" w:eastAsia="zh-CN"/>
        </w:rPr>
      </w:pPr>
      <w:r>
        <w:rPr>
          <w:rFonts w:hint="eastAsia"/>
          <w:position w:val="-128"/>
          <w:sz w:val="21"/>
          <w:lang w:val="en-US" w:eastAsia="zh-CN"/>
        </w:rPr>
        <w:object>
          <v:shape id="_x0000_i1028" o:spt="75" type="#_x0000_t75" style="height:134pt;width:2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position w:val="-10"/>
          <w:sz w:val="21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实机运动中，随着l2增大，q2减小，q3减小；随着l3增大，q2减小，q3增大。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注意：在全轴零位状态下，等效的q2和q3均是90°，与常规认为的0°有偏差，运算时需要做角度补偿。</w:t>
      </w:r>
    </w:p>
    <w:p>
      <w:pPr>
        <w:numPr>
          <w:ilvl w:val="0"/>
          <w:numId w:val="0"/>
        </w:numPr>
        <w:jc w:val="both"/>
        <w:rPr>
          <w:rFonts w:hint="default"/>
          <w:position w:val="-10"/>
          <w:sz w:val="21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建模求解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对上节等效出的六旋转轴串联机器人进行Modified DH建模，坐标系示意为：</w:t>
      </w:r>
    </w:p>
    <w:p>
      <w:pPr>
        <w:jc w:val="center"/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3923665" cy="3978275"/>
            <wp:effectExtent l="0" t="0" r="635" b="3175"/>
            <wp:docPr id="1" name="图片 1" descr="坐标系-第 3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坐标系-第 3 页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1"/>
          <w:lang w:eastAsia="zh-CN"/>
        </w:rPr>
      </w:pPr>
    </w:p>
    <w:p>
      <w:pPr>
        <w:jc w:val="center"/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4686935" cy="4029075"/>
            <wp:effectExtent l="0" t="0" r="18415" b="9525"/>
            <wp:docPr id="10" name="图片 10" descr="C:\Users\NeverRobot\Desktop\坐标系-第 2 页.drawio.png坐标系-第 2 页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everRobot\Desktop\坐标系-第 2 页.drawio.png坐标系-第 2 页.drawio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21"/>
          <w:lang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55"/>
        <w:gridCol w:w="1459"/>
        <w:gridCol w:w="1698"/>
        <w:gridCol w:w="1358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d1(811+250)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+90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a2(290-230+l3)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+90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a3(1250)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+90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-d4(298)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a4(1450)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+90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d5(353)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+90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d6(226)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(其中l3表示关节空间中，J3丝杆的线位移)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根据相邻轴间的位姿计算公式：</w:t>
      </w:r>
    </w:p>
    <w:p>
      <w:pPr>
        <w:jc w:val="center"/>
        <w:rPr>
          <w:b/>
          <w:bCs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9" o:spt="75" type="#_x0000_t75" style="height:72pt;width:31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求得：</w:t>
      </w: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4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48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9">
                  <o:LockedField>false</o:LockedField>
                </o:OLEObject>
              </w:object>
            </w:r>
          </w:p>
        </w:tc>
        <w:tc>
          <w:tcPr>
            <w:tcW w:w="255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8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0.9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3">
                  <o:LockedField>false</o:LockedField>
                </o:OLEObject>
              </w:object>
            </w:r>
          </w:p>
        </w:tc>
        <w:tc>
          <w:tcPr>
            <w:tcW w:w="255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4" o:spt="75" type="#_x0000_t75" style="height:72pt;width:175.9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7">
                  <o:LockedField>false</o:LockedField>
                </o:OLEObject>
              </w:object>
            </w:r>
          </w:p>
        </w:tc>
        <w:tc>
          <w:tcPr>
            <w:tcW w:w="255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5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6" o:spt="75" type="#_x0000_t75" style="height:19pt;width:139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1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法兰中心点位姿矩阵各元素具体计算如下：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T[1,1] =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c6 + 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 + 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T[1,2] = 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 + 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 + 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T[1,3] =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s234 - s1*s5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T[1,4] = a4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c23 +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d5 +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*(a2 - a3*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 + l3) - d4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*s1 - 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 + s1*s5)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T[2,1] = 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 + 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 + 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T[2,2] = 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 + 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 + 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s5)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T[2,3] =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 + 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s1*s234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T[2,4] = a4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 + 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*d4 + 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*s1 + 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 + 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*s234) + 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(a2 - a3*s2 + l3)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T[3,1] = 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 + c6*s234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T[3,2] = 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s5 - s234*s6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T[3,3] = -c234*c5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T[3,4] = a3*c2 + a4*s23 - c234*c5*d6 + d1 + d5*s234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T[4,1] = 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T[4,2] = 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T[4,3] = 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T[4,4] = 1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其中，s1=sin(q1)，c1=cos(q1)，s2=sin(q2)，c2=cos(q2)，s3=sin(q3)，c3=cos(q3)，s4=sin(q4)，c4=cos(q4)，s5=sin(q5)，c5=cos(q5)，s6=sin(q6)，c6=cos(q6)，s23=sin(q2+q3)，c23=cos(q2+q3)，s234=sin(q2+q3+q4)，c234=cos(q2+q3+q4)。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12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注意：不要忘记做角度补偿，l2、l3→q2、q3→</w:t>
      </w:r>
      <w:r>
        <w:rPr>
          <w:rFonts w:hint="eastAsia"/>
          <w:color w:val="FF0000"/>
          <w:sz w:val="24"/>
          <w:szCs w:val="24"/>
          <w:lang w:val="en-US" w:eastAsia="zh-CN"/>
        </w:rPr>
        <w:t>q2=q2-90°、q3=q3-90°</w:t>
      </w:r>
      <w:r>
        <w:rPr>
          <w:rFonts w:hint="eastAsia"/>
          <w:sz w:val="24"/>
          <w:szCs w:val="24"/>
          <w:lang w:val="en-US" w:eastAsia="zh-CN"/>
        </w:rPr>
        <w:t>→T。</w:t>
      </w:r>
    </w:p>
    <w:p>
      <w:pPr>
        <w:rPr>
          <w:rFonts w:hint="default"/>
          <w:position w:val="-12"/>
          <w:vertAlign w:val="baseline"/>
          <w:lang w:val="en-US" w:eastAsia="zh-CN"/>
        </w:rPr>
      </w:pPr>
      <w:r>
        <w:rPr>
          <w:rFonts w:hint="default"/>
          <w:position w:val="-12"/>
          <w:vertAlign w:val="baseline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SAR210六轴L腕机器人逆运动学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建模求解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若法兰中心点位姿矩阵如下：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7" o:spt="75" type="#_x0000_t75" style="height:72pt;width:121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38" o:spt="75" type="#_x0000_t75" style="height:20pt;width:17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5pt;width:28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040" o:spt="75" type="#_x0000_t75" style="height:48pt;width:29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41" o:spt="75" type="#_x0000_t75" style="height:55pt;width:38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42" o:spt="75" type="#_x0000_t75" style="height:18pt;width:30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043" o:spt="75" type="#_x0000_t75" style="height:76pt;width:41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44" o:spt="75" type="#_x0000_t75" style="height:18pt;width:48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5" o:spt="75" type="#_x0000_t75" style="height:20pt;width:18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</w:t>
      </w:r>
    </w:p>
    <w:p>
      <w:pPr>
        <w:jc w:val="both"/>
        <w:rPr>
          <w:rFonts w:hint="default"/>
          <w:position w:val="-70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046" o:spt="75" type="#_x0000_t75" style="height:112pt;width:40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1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上式较复杂，可简单代换为(此时A、B均为常数项)：</w:t>
      </w:r>
    </w:p>
    <w:p>
      <w:pPr>
        <w:jc w:val="center"/>
        <w:rPr>
          <w:rFonts w:hint="default"/>
          <w:position w:val="-30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47" o:spt="75" type="#_x0000_t75" style="height:36pt;width:17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</w:t>
      </w:r>
    </w:p>
    <w:p>
      <w:pPr>
        <w:jc w:val="center"/>
        <w:rPr>
          <w:rFonts w:hint="default"/>
          <w:position w:val="-30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48" o:spt="75" type="#_x0000_t75" style="height:54pt;width:42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5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移项可得(检查a4≠0)：</w:t>
      </w:r>
    </w:p>
    <w:p>
      <w:pPr>
        <w:jc w:val="center"/>
        <w:rPr>
          <w:rFonts w:hint="default"/>
          <w:position w:val="-70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49" o:spt="75" type="#_x0000_t75" style="height:70pt;width:15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0" o:spt="75" type="#_x0000_t75" style="height:19pt;width:15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1" o:spt="75" type="#_x0000_t75" style="height:37pt;width:25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4"/>
          <w:sz w:val="24"/>
          <w:szCs w:val="24"/>
          <w:lang w:val="en-US" w:eastAsia="zh-CN"/>
        </w:rPr>
        <w:object>
          <v:shape id="_x0000_i1052" o:spt="75" type="#_x0000_t75" style="height:70pt;width:42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3" o:spt="75" type="#_x0000_t75" style="height:34pt;width:2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54" o:spt="75" type="#_x0000_t75" style="height:38pt;width:17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5" o:spt="75" type="#_x0000_t75" style="height:20pt;width:17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70"/>
          <w:sz w:val="24"/>
          <w:szCs w:val="24"/>
          <w:lang w:val="en-US" w:eastAsia="zh-CN"/>
        </w:rPr>
        <w:object>
          <v:shape id="_x0000_i1056" o:spt="75" type="#_x0000_t75" style="height:76pt;width:45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hint="eastAsia"/>
          <w:position w:val="-66"/>
          <w:sz w:val="24"/>
          <w:szCs w:val="24"/>
          <w:lang w:val="en-US" w:eastAsia="zh-CN"/>
        </w:rPr>
        <w:object>
          <v:shape id="_x0000_i1057" o:spt="75" type="#_x0000_t75" style="height:72pt;width:48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至此，等效出的六旋转轴串联机器人逆解完成。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等效转换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低于参考面BC时：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4"/>
          <w:sz w:val="21"/>
          <w:lang w:val="en-US" w:eastAsia="zh-CN"/>
        </w:rPr>
        <w:object>
          <v:shape id="_x0000_i1058" o:spt="75" type="#_x0000_t75" style="height:40pt;width:24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，求得：</w:t>
      </w:r>
    </w:p>
    <w:p>
      <w:pPr>
        <w:jc w:val="center"/>
        <w:rPr>
          <w:rFonts w:hint="eastAsia"/>
          <w:position w:val="-128"/>
          <w:sz w:val="21"/>
          <w:lang w:val="en-US" w:eastAsia="zh-CN"/>
        </w:rPr>
      </w:pPr>
      <w:r>
        <w:rPr>
          <w:rFonts w:hint="eastAsia"/>
          <w:position w:val="-12"/>
          <w:sz w:val="21"/>
          <w:lang w:val="en-US" w:eastAsia="zh-CN"/>
        </w:rPr>
        <w:object>
          <v:shape id="_x0000_i1059" o:spt="75" type="#_x0000_t75" style="height:20pt;width:13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position w:val="-128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12"/>
          <w:sz w:val="21"/>
          <w:lang w:val="en-US" w:eastAsia="zh-CN"/>
        </w:rPr>
        <w:object>
          <v:shape id="_x0000_i1060" o:spt="75" type="#_x0000_t75" style="height:19pt;width:18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将上式代入</w:t>
      </w:r>
      <w:r>
        <w:rPr>
          <w:rFonts w:hint="eastAsia"/>
          <w:position w:val="-40"/>
          <w:sz w:val="21"/>
          <w:lang w:val="en-US" w:eastAsia="zh-CN"/>
        </w:rPr>
        <w:object>
          <v:shape id="_x0000_i1061" o:spt="75" type="#_x0000_t75" style="height:46pt;width:33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position w:val="-30"/>
          <w:sz w:val="21"/>
          <w:lang w:val="en-US" w:eastAsia="zh-CN"/>
        </w:rPr>
        <w:object>
          <v:shape id="_x0000_i1062" o:spt="75" type="#_x0000_t75" style="height:34pt;width:62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34"/>
          <w:sz w:val="21"/>
          <w:lang w:val="en-US" w:eastAsia="zh-CN"/>
        </w:rPr>
        <w:object>
          <v:shape id="_x0000_i1063" o:spt="75" type="#_x0000_t75" style="height:40pt;width:193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所以，由方程组</w:t>
      </w:r>
      <w:r>
        <w:rPr>
          <w:rFonts w:hint="eastAsia"/>
          <w:position w:val="-50"/>
          <w:sz w:val="21"/>
          <w:lang w:val="en-US" w:eastAsia="zh-CN"/>
        </w:rPr>
        <w:object>
          <v:shape id="_x0000_i1064" o:spt="75" type="#_x0000_t75" style="height:56pt;width:13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，可求得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66"/>
          <w:sz w:val="21"/>
          <w:lang w:val="en-US" w:eastAsia="zh-CN"/>
        </w:rPr>
        <w:object>
          <v:shape id="_x0000_i1065" o:spt="75" type="#_x0000_t75" style="height:72pt;width:114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0"/>
          <w:sz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position w:val="-10"/>
          <w:sz w:val="21"/>
          <w:lang w:val="en-US" w:eastAsia="zh-CN"/>
        </w:rPr>
      </w:pPr>
    </w:p>
    <w:p>
      <w:pPr>
        <w:numPr>
          <w:ilvl w:val="0"/>
          <w:numId w:val="5"/>
        </w:numPr>
        <w:tabs>
          <w:tab w:val="clear" w:pos="420"/>
        </w:tabs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当J2轴铰接点A’高于参考面BC时：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4"/>
          <w:sz w:val="21"/>
          <w:lang w:val="en-US" w:eastAsia="zh-CN"/>
        </w:rPr>
        <w:object>
          <v:shape id="_x0000_i1066" o:spt="75" type="#_x0000_t75" style="height:40pt;width:24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，求得：</w:t>
      </w:r>
    </w:p>
    <w:p>
      <w:pPr>
        <w:jc w:val="center"/>
        <w:rPr>
          <w:rFonts w:hint="eastAsia"/>
          <w:position w:val="-128"/>
          <w:sz w:val="21"/>
          <w:lang w:val="en-US" w:eastAsia="zh-CN"/>
        </w:rPr>
      </w:pPr>
      <w:r>
        <w:rPr>
          <w:rFonts w:hint="eastAsia"/>
          <w:position w:val="-12"/>
          <w:sz w:val="21"/>
          <w:lang w:val="en-US" w:eastAsia="zh-CN"/>
        </w:rPr>
        <w:object>
          <v:shape id="_x0000_i1067" o:spt="75" type="#_x0000_t75" style="height:20pt;width:13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2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position w:val="-128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12"/>
          <w:sz w:val="21"/>
          <w:lang w:val="en-US" w:eastAsia="zh-CN"/>
        </w:rPr>
        <w:object>
          <v:shape id="_x0000_i1068" o:spt="75" type="#_x0000_t75" style="height:19pt;width:18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将上式代入</w:t>
      </w:r>
      <w:r>
        <w:rPr>
          <w:rFonts w:hint="eastAsia"/>
          <w:position w:val="-40"/>
          <w:sz w:val="21"/>
          <w:lang w:val="en-US" w:eastAsia="zh-CN"/>
        </w:rPr>
        <w:object>
          <v:shape id="_x0000_i1069" o:spt="75" type="#_x0000_t75" style="height:46pt;width:333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position w:val="-30"/>
          <w:sz w:val="21"/>
          <w:lang w:val="en-US" w:eastAsia="zh-CN"/>
        </w:rPr>
        <w:object>
          <v:shape id="_x0000_i1070" o:spt="75" type="#_x0000_t75" style="height:34pt;width:6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136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34"/>
          <w:sz w:val="21"/>
          <w:lang w:val="en-US" w:eastAsia="zh-CN"/>
        </w:rPr>
        <w:object>
          <v:shape id="_x0000_i1071" o:spt="75" type="#_x0000_t75" style="height:40pt;width:193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所以，由方程组</w:t>
      </w:r>
      <w:r>
        <w:rPr>
          <w:rFonts w:hint="eastAsia"/>
          <w:position w:val="-50"/>
          <w:sz w:val="21"/>
          <w:lang w:val="en-US" w:eastAsia="zh-CN"/>
        </w:rPr>
        <w:object>
          <v:shape id="_x0000_i1072" o:spt="75" type="#_x0000_t75" style="height:56pt;width:13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，可求得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0"/>
          <w:sz w:val="21"/>
          <w:lang w:val="en-US" w:eastAsia="zh-CN"/>
        </w:rPr>
      </w:pPr>
      <w:r>
        <w:rPr>
          <w:rFonts w:hint="eastAsia"/>
          <w:position w:val="-66"/>
          <w:sz w:val="21"/>
          <w:lang w:val="en-US" w:eastAsia="zh-CN"/>
        </w:rPr>
        <w:object>
          <v:shape id="_x0000_i1073" o:spt="75" type="#_x0000_t75" style="height:72pt;width:116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position w:val="-1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注意：不要忘记做角度补偿，T→q2、q3→</w:t>
      </w:r>
      <w:r>
        <w:rPr>
          <w:rFonts w:hint="eastAsia"/>
          <w:color w:val="FF0000"/>
          <w:sz w:val="24"/>
          <w:szCs w:val="24"/>
          <w:lang w:val="en-US" w:eastAsia="zh-CN"/>
        </w:rPr>
        <w:t>q2=q2+90°、q3=q3+90°</w:t>
      </w:r>
      <w:r>
        <w:rPr>
          <w:rFonts w:hint="eastAsia"/>
          <w:sz w:val="24"/>
          <w:szCs w:val="24"/>
          <w:lang w:val="en-US" w:eastAsia="zh-CN"/>
        </w:rPr>
        <w:t>→l2、l3。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ACEFD"/>
    <w:multiLevelType w:val="singleLevel"/>
    <w:tmpl w:val="B50ACE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7F1407"/>
    <w:multiLevelType w:val="multilevel"/>
    <w:tmpl w:val="BD7F140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C2D020E0"/>
    <w:multiLevelType w:val="multilevel"/>
    <w:tmpl w:val="C2D020E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4F28820"/>
    <w:multiLevelType w:val="singleLevel"/>
    <w:tmpl w:val="14F28820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6C06C1B"/>
    <w:multiLevelType w:val="multilevel"/>
    <w:tmpl w:val="56C06C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3D6"/>
    <w:rsid w:val="006A3748"/>
    <w:rsid w:val="00BF2FAF"/>
    <w:rsid w:val="00F91DE9"/>
    <w:rsid w:val="01372436"/>
    <w:rsid w:val="013E1ADB"/>
    <w:rsid w:val="01655F06"/>
    <w:rsid w:val="018B6080"/>
    <w:rsid w:val="019B195C"/>
    <w:rsid w:val="02A665C1"/>
    <w:rsid w:val="02B22AF6"/>
    <w:rsid w:val="02E53E95"/>
    <w:rsid w:val="02E55A34"/>
    <w:rsid w:val="03C97929"/>
    <w:rsid w:val="03CF0CB6"/>
    <w:rsid w:val="040E0F8D"/>
    <w:rsid w:val="04156D41"/>
    <w:rsid w:val="042D261B"/>
    <w:rsid w:val="055823B9"/>
    <w:rsid w:val="06206DBE"/>
    <w:rsid w:val="06A61919"/>
    <w:rsid w:val="06DB5DF3"/>
    <w:rsid w:val="06DF66DC"/>
    <w:rsid w:val="08157BBA"/>
    <w:rsid w:val="083032F9"/>
    <w:rsid w:val="089F6C03"/>
    <w:rsid w:val="08B52FB8"/>
    <w:rsid w:val="08D87A8F"/>
    <w:rsid w:val="096064D5"/>
    <w:rsid w:val="09C97EDD"/>
    <w:rsid w:val="09D35511"/>
    <w:rsid w:val="09EB4E4D"/>
    <w:rsid w:val="0A147883"/>
    <w:rsid w:val="0A5F4BA7"/>
    <w:rsid w:val="0AAE0254"/>
    <w:rsid w:val="0B026A42"/>
    <w:rsid w:val="0C923002"/>
    <w:rsid w:val="0CC966CA"/>
    <w:rsid w:val="0D11617E"/>
    <w:rsid w:val="0D6315EB"/>
    <w:rsid w:val="0E3D5A80"/>
    <w:rsid w:val="0E915E37"/>
    <w:rsid w:val="0E956ED2"/>
    <w:rsid w:val="0E9635F2"/>
    <w:rsid w:val="0E981323"/>
    <w:rsid w:val="0EC81FF7"/>
    <w:rsid w:val="0FC21F51"/>
    <w:rsid w:val="10040430"/>
    <w:rsid w:val="10B03547"/>
    <w:rsid w:val="111B5880"/>
    <w:rsid w:val="11346EB3"/>
    <w:rsid w:val="114538E9"/>
    <w:rsid w:val="11591971"/>
    <w:rsid w:val="118715D9"/>
    <w:rsid w:val="11BD3846"/>
    <w:rsid w:val="11D142D4"/>
    <w:rsid w:val="11EF2FAC"/>
    <w:rsid w:val="1253358F"/>
    <w:rsid w:val="125E50FD"/>
    <w:rsid w:val="127201CB"/>
    <w:rsid w:val="12BB00D9"/>
    <w:rsid w:val="13206333"/>
    <w:rsid w:val="13324644"/>
    <w:rsid w:val="139973C7"/>
    <w:rsid w:val="139C7D6D"/>
    <w:rsid w:val="13CD0C92"/>
    <w:rsid w:val="141E0A67"/>
    <w:rsid w:val="14703CAD"/>
    <w:rsid w:val="14C9523E"/>
    <w:rsid w:val="15223B89"/>
    <w:rsid w:val="158406A8"/>
    <w:rsid w:val="15884DE3"/>
    <w:rsid w:val="15983282"/>
    <w:rsid w:val="16826A16"/>
    <w:rsid w:val="16C15A23"/>
    <w:rsid w:val="16D142F7"/>
    <w:rsid w:val="16F8610D"/>
    <w:rsid w:val="175C2EC9"/>
    <w:rsid w:val="17684077"/>
    <w:rsid w:val="177C0B85"/>
    <w:rsid w:val="17926D67"/>
    <w:rsid w:val="17BB1122"/>
    <w:rsid w:val="17F81D06"/>
    <w:rsid w:val="18024F45"/>
    <w:rsid w:val="183039E1"/>
    <w:rsid w:val="18EC4253"/>
    <w:rsid w:val="192B45DD"/>
    <w:rsid w:val="193A2B65"/>
    <w:rsid w:val="195B69F8"/>
    <w:rsid w:val="1A041C9E"/>
    <w:rsid w:val="1A0778D8"/>
    <w:rsid w:val="1A6934B5"/>
    <w:rsid w:val="1AE00D0E"/>
    <w:rsid w:val="1BDD12A9"/>
    <w:rsid w:val="1C0B353C"/>
    <w:rsid w:val="1C2671C8"/>
    <w:rsid w:val="1C3059A8"/>
    <w:rsid w:val="1C673FC9"/>
    <w:rsid w:val="1CB949BA"/>
    <w:rsid w:val="1CD60617"/>
    <w:rsid w:val="1D114D64"/>
    <w:rsid w:val="1D191401"/>
    <w:rsid w:val="1D23304F"/>
    <w:rsid w:val="1DB10CA3"/>
    <w:rsid w:val="1EA92BEF"/>
    <w:rsid w:val="1EC907BB"/>
    <w:rsid w:val="1FBC170A"/>
    <w:rsid w:val="1FCC42C7"/>
    <w:rsid w:val="200C45D4"/>
    <w:rsid w:val="203B6E0E"/>
    <w:rsid w:val="204A1BBB"/>
    <w:rsid w:val="21DE7395"/>
    <w:rsid w:val="21E74FCF"/>
    <w:rsid w:val="21FF7BDD"/>
    <w:rsid w:val="2250162C"/>
    <w:rsid w:val="22F041B1"/>
    <w:rsid w:val="23340555"/>
    <w:rsid w:val="234C1076"/>
    <w:rsid w:val="23B73FCD"/>
    <w:rsid w:val="23F62D02"/>
    <w:rsid w:val="247245B1"/>
    <w:rsid w:val="24D27BE2"/>
    <w:rsid w:val="25340322"/>
    <w:rsid w:val="258568EC"/>
    <w:rsid w:val="26202944"/>
    <w:rsid w:val="263150B9"/>
    <w:rsid w:val="2726224D"/>
    <w:rsid w:val="276879B6"/>
    <w:rsid w:val="28226A1D"/>
    <w:rsid w:val="2855159E"/>
    <w:rsid w:val="2893474A"/>
    <w:rsid w:val="28CC4D43"/>
    <w:rsid w:val="29D0779B"/>
    <w:rsid w:val="2B574C79"/>
    <w:rsid w:val="2B7D5758"/>
    <w:rsid w:val="2B833407"/>
    <w:rsid w:val="2BBC4196"/>
    <w:rsid w:val="2BC2072E"/>
    <w:rsid w:val="2BC52961"/>
    <w:rsid w:val="2BF144DF"/>
    <w:rsid w:val="2BF47640"/>
    <w:rsid w:val="2C3E7F7B"/>
    <w:rsid w:val="2CCC45D0"/>
    <w:rsid w:val="2D1F2907"/>
    <w:rsid w:val="2D5151DE"/>
    <w:rsid w:val="2E481535"/>
    <w:rsid w:val="2E4862E6"/>
    <w:rsid w:val="2EEA37F9"/>
    <w:rsid w:val="2F2C4A1F"/>
    <w:rsid w:val="308F6AAE"/>
    <w:rsid w:val="30D03BAF"/>
    <w:rsid w:val="30F52EF3"/>
    <w:rsid w:val="30FD4181"/>
    <w:rsid w:val="30FF23AE"/>
    <w:rsid w:val="31855299"/>
    <w:rsid w:val="31B841A7"/>
    <w:rsid w:val="32A10872"/>
    <w:rsid w:val="333550D8"/>
    <w:rsid w:val="33B75442"/>
    <w:rsid w:val="33C04743"/>
    <w:rsid w:val="342221F1"/>
    <w:rsid w:val="342625D9"/>
    <w:rsid w:val="345953BC"/>
    <w:rsid w:val="34A857FD"/>
    <w:rsid w:val="362037C7"/>
    <w:rsid w:val="362D16B8"/>
    <w:rsid w:val="3645257E"/>
    <w:rsid w:val="36680CB8"/>
    <w:rsid w:val="3669164C"/>
    <w:rsid w:val="373C0073"/>
    <w:rsid w:val="378E1902"/>
    <w:rsid w:val="37BD154E"/>
    <w:rsid w:val="382A4796"/>
    <w:rsid w:val="38BF3896"/>
    <w:rsid w:val="38DB0EC9"/>
    <w:rsid w:val="39036543"/>
    <w:rsid w:val="393D6B41"/>
    <w:rsid w:val="397D7AD9"/>
    <w:rsid w:val="39866747"/>
    <w:rsid w:val="3A6A03D0"/>
    <w:rsid w:val="3A977B7C"/>
    <w:rsid w:val="3AD15C10"/>
    <w:rsid w:val="3AF05769"/>
    <w:rsid w:val="3AFE3591"/>
    <w:rsid w:val="3B38253B"/>
    <w:rsid w:val="3B9618EB"/>
    <w:rsid w:val="3BC9068A"/>
    <w:rsid w:val="3C651A55"/>
    <w:rsid w:val="3CFD3EE8"/>
    <w:rsid w:val="3DA07C6C"/>
    <w:rsid w:val="3DB22570"/>
    <w:rsid w:val="3E694F1F"/>
    <w:rsid w:val="3ED20D74"/>
    <w:rsid w:val="3EE4769A"/>
    <w:rsid w:val="3F237084"/>
    <w:rsid w:val="3F243D0F"/>
    <w:rsid w:val="3F5F4456"/>
    <w:rsid w:val="3FBE7258"/>
    <w:rsid w:val="3FE51A03"/>
    <w:rsid w:val="40434F85"/>
    <w:rsid w:val="40806DD9"/>
    <w:rsid w:val="41195370"/>
    <w:rsid w:val="413E492F"/>
    <w:rsid w:val="41786A43"/>
    <w:rsid w:val="417B597D"/>
    <w:rsid w:val="41DD62C7"/>
    <w:rsid w:val="42CB48EF"/>
    <w:rsid w:val="433925DD"/>
    <w:rsid w:val="436D4902"/>
    <w:rsid w:val="44923930"/>
    <w:rsid w:val="44DC4424"/>
    <w:rsid w:val="45420208"/>
    <w:rsid w:val="45EA156F"/>
    <w:rsid w:val="467446A9"/>
    <w:rsid w:val="46B96935"/>
    <w:rsid w:val="470A1E29"/>
    <w:rsid w:val="47982024"/>
    <w:rsid w:val="47E47838"/>
    <w:rsid w:val="488B4330"/>
    <w:rsid w:val="48CE06E9"/>
    <w:rsid w:val="490B1383"/>
    <w:rsid w:val="4962376B"/>
    <w:rsid w:val="4A590F50"/>
    <w:rsid w:val="4B1A322C"/>
    <w:rsid w:val="4B227F4E"/>
    <w:rsid w:val="4B564B9E"/>
    <w:rsid w:val="4BC2554D"/>
    <w:rsid w:val="4BFC4FE7"/>
    <w:rsid w:val="4C8D32F6"/>
    <w:rsid w:val="4CAF70B9"/>
    <w:rsid w:val="4CE930F4"/>
    <w:rsid w:val="4CF809D7"/>
    <w:rsid w:val="4D4450CB"/>
    <w:rsid w:val="4D9B2271"/>
    <w:rsid w:val="4DCF207D"/>
    <w:rsid w:val="4DDB71B8"/>
    <w:rsid w:val="4E025F5F"/>
    <w:rsid w:val="4E5606D2"/>
    <w:rsid w:val="4EA55792"/>
    <w:rsid w:val="4ECE0689"/>
    <w:rsid w:val="4ECF2598"/>
    <w:rsid w:val="4EE467FC"/>
    <w:rsid w:val="4F2C17E1"/>
    <w:rsid w:val="4F4E2D2C"/>
    <w:rsid w:val="4FB14471"/>
    <w:rsid w:val="4FE52ABE"/>
    <w:rsid w:val="503726DA"/>
    <w:rsid w:val="50423F5E"/>
    <w:rsid w:val="50774468"/>
    <w:rsid w:val="50C05B07"/>
    <w:rsid w:val="511B1A9E"/>
    <w:rsid w:val="51261A57"/>
    <w:rsid w:val="528A23DC"/>
    <w:rsid w:val="528D3883"/>
    <w:rsid w:val="52AD1FE0"/>
    <w:rsid w:val="52D00C75"/>
    <w:rsid w:val="52D43B00"/>
    <w:rsid w:val="538449FC"/>
    <w:rsid w:val="53A143E6"/>
    <w:rsid w:val="53CF5A2E"/>
    <w:rsid w:val="54277514"/>
    <w:rsid w:val="54F17E58"/>
    <w:rsid w:val="55030628"/>
    <w:rsid w:val="55321249"/>
    <w:rsid w:val="5581763F"/>
    <w:rsid w:val="55841532"/>
    <w:rsid w:val="55851E1D"/>
    <w:rsid w:val="56673B0A"/>
    <w:rsid w:val="56862595"/>
    <w:rsid w:val="573C558E"/>
    <w:rsid w:val="57584F41"/>
    <w:rsid w:val="5792582A"/>
    <w:rsid w:val="57A47A33"/>
    <w:rsid w:val="57DA4A40"/>
    <w:rsid w:val="58C42AB2"/>
    <w:rsid w:val="594B7307"/>
    <w:rsid w:val="59C43177"/>
    <w:rsid w:val="59EF2779"/>
    <w:rsid w:val="59F247A6"/>
    <w:rsid w:val="5A5F4588"/>
    <w:rsid w:val="5A82219D"/>
    <w:rsid w:val="5AB63C76"/>
    <w:rsid w:val="5ABD148F"/>
    <w:rsid w:val="5AEC3167"/>
    <w:rsid w:val="5B843690"/>
    <w:rsid w:val="5BE82668"/>
    <w:rsid w:val="5C1A173C"/>
    <w:rsid w:val="5C285DBF"/>
    <w:rsid w:val="5C6E1E98"/>
    <w:rsid w:val="5CC36C71"/>
    <w:rsid w:val="5CD1346B"/>
    <w:rsid w:val="5D2558E3"/>
    <w:rsid w:val="5DBD3695"/>
    <w:rsid w:val="5DC47F77"/>
    <w:rsid w:val="5DDC73CE"/>
    <w:rsid w:val="5DF93D03"/>
    <w:rsid w:val="5E0A234F"/>
    <w:rsid w:val="5E8503E1"/>
    <w:rsid w:val="5EB20D1B"/>
    <w:rsid w:val="5EBF70B3"/>
    <w:rsid w:val="5EE248B5"/>
    <w:rsid w:val="5F31349D"/>
    <w:rsid w:val="604F43EF"/>
    <w:rsid w:val="60945B08"/>
    <w:rsid w:val="60C336B0"/>
    <w:rsid w:val="60DA42A2"/>
    <w:rsid w:val="61C040A0"/>
    <w:rsid w:val="61CF4037"/>
    <w:rsid w:val="62182875"/>
    <w:rsid w:val="62431B52"/>
    <w:rsid w:val="62522BF9"/>
    <w:rsid w:val="62955427"/>
    <w:rsid w:val="62C825B8"/>
    <w:rsid w:val="62DC6427"/>
    <w:rsid w:val="63122764"/>
    <w:rsid w:val="63726B2B"/>
    <w:rsid w:val="639A0D7C"/>
    <w:rsid w:val="63CE7F7F"/>
    <w:rsid w:val="6432732F"/>
    <w:rsid w:val="64EB53F1"/>
    <w:rsid w:val="65C56637"/>
    <w:rsid w:val="65D162A3"/>
    <w:rsid w:val="66501E4B"/>
    <w:rsid w:val="66B43BBA"/>
    <w:rsid w:val="66CA0BAC"/>
    <w:rsid w:val="66E20E1B"/>
    <w:rsid w:val="66F47BA5"/>
    <w:rsid w:val="6711119D"/>
    <w:rsid w:val="67275A02"/>
    <w:rsid w:val="673D76D1"/>
    <w:rsid w:val="67495FBE"/>
    <w:rsid w:val="67717954"/>
    <w:rsid w:val="68177ECD"/>
    <w:rsid w:val="69474CAA"/>
    <w:rsid w:val="69A7730F"/>
    <w:rsid w:val="6A300A4A"/>
    <w:rsid w:val="6A3918C4"/>
    <w:rsid w:val="6A442AD0"/>
    <w:rsid w:val="6A543821"/>
    <w:rsid w:val="6AC34B96"/>
    <w:rsid w:val="6B194176"/>
    <w:rsid w:val="6B280349"/>
    <w:rsid w:val="6B317200"/>
    <w:rsid w:val="6B5736B6"/>
    <w:rsid w:val="6B9D06F6"/>
    <w:rsid w:val="6D744A47"/>
    <w:rsid w:val="6DA823A7"/>
    <w:rsid w:val="6DC005AA"/>
    <w:rsid w:val="6DFF2A4A"/>
    <w:rsid w:val="6E2360FB"/>
    <w:rsid w:val="6E3066FC"/>
    <w:rsid w:val="6E4B4E37"/>
    <w:rsid w:val="6EA86E83"/>
    <w:rsid w:val="6EAA730E"/>
    <w:rsid w:val="6ED4645A"/>
    <w:rsid w:val="6F6272BD"/>
    <w:rsid w:val="7096198E"/>
    <w:rsid w:val="70ED4B87"/>
    <w:rsid w:val="71122CC7"/>
    <w:rsid w:val="7186184F"/>
    <w:rsid w:val="725113A7"/>
    <w:rsid w:val="725C654C"/>
    <w:rsid w:val="72FC5ABD"/>
    <w:rsid w:val="73276ABF"/>
    <w:rsid w:val="73302C8F"/>
    <w:rsid w:val="73646441"/>
    <w:rsid w:val="74332154"/>
    <w:rsid w:val="749037A1"/>
    <w:rsid w:val="74D47270"/>
    <w:rsid w:val="74EE4418"/>
    <w:rsid w:val="76080394"/>
    <w:rsid w:val="76702DDA"/>
    <w:rsid w:val="767D34FA"/>
    <w:rsid w:val="770B26CF"/>
    <w:rsid w:val="770C1206"/>
    <w:rsid w:val="77F36382"/>
    <w:rsid w:val="789D71C0"/>
    <w:rsid w:val="799B0F38"/>
    <w:rsid w:val="79A1292C"/>
    <w:rsid w:val="79E00809"/>
    <w:rsid w:val="7ABC460E"/>
    <w:rsid w:val="7BBD75C1"/>
    <w:rsid w:val="7C0754B2"/>
    <w:rsid w:val="7CFA1896"/>
    <w:rsid w:val="7D1A79C4"/>
    <w:rsid w:val="7DB13FCC"/>
    <w:rsid w:val="7DB346BF"/>
    <w:rsid w:val="7DB732C8"/>
    <w:rsid w:val="7DC52CDE"/>
    <w:rsid w:val="7DDE6F88"/>
    <w:rsid w:val="7E08656A"/>
    <w:rsid w:val="7E172876"/>
    <w:rsid w:val="7E866E66"/>
    <w:rsid w:val="7E982763"/>
    <w:rsid w:val="7F28616C"/>
    <w:rsid w:val="7F3F1C44"/>
    <w:rsid w:val="7F7F6A0F"/>
    <w:rsid w:val="7F9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4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3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2021-07-16T07:06:00Z</dcterms:created>
  <dc:creator>NeverRobot</dc:creator>
  <cp:lastModifiedBy>NeverRobot</cp:lastModifiedBy>
  <dcterms:modified xsi:type="dcterms:W3CDTF">2022-01-22T08:57:12Z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1EDBF129414347868C910DF7FFA0A072</vt:lpwstr>
  </property>
</Properties>
</file>