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53.png" ContentType="image/png"/>
  <Override PartName="/word/media/rId73.png" ContentType="image/png"/>
  <Override PartName="/word/media/rId48.png" ContentType="image/png"/>
  <Override PartName="/word/media/rId4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p>
    <w:p>
      <w:pPr>
        <w:pStyle w:val="Author"/>
      </w:pPr>
      <w:r>
        <w:t xml:space="preserve">T</w:t>
      </w:r>
      <w:r>
        <w:t xml:space="preserve"> </w:t>
      </w:r>
      <w:r>
        <w:t xml:space="preserve">X</w:t>
      </w:r>
    </w:p>
    <w:p>
      <w:pPr>
        <w:pStyle w:val="Date"/>
      </w:pPr>
      <w:r>
        <w:t xml:space="preserve">2023/1/19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jupyter-python3"/>
    <w:p>
      <w:pPr>
        <w:pStyle w:val="Heading1"/>
      </w:pPr>
      <w:r>
        <w:t xml:space="preserve">1. — #jupyter: python3 #—</w:t>
      </w:r>
    </w:p>
    <w:bookmarkEnd w:id="20"/>
    <w:bookmarkStart w:id="22"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1">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22"/>
    <w:bookmarkStart w:id="23" w:name="introduction"/>
    <w:p>
      <w:pPr>
        <w:pStyle w:val="Heading1"/>
      </w:pPr>
      <w:r>
        <w:t xml:space="preserve">2. Introduction</w:t>
      </w:r>
    </w:p>
    <w:p>
      <w:pPr>
        <w:pStyle w:val="FirstParagraph"/>
      </w:pPr>
      <w:r>
        <w:t xml:space="preserve">This is a book created from markdown and executable code.</w:t>
      </w:r>
    </w:p>
    <w:p>
      <w:pPr>
        <w:pStyle w:val="BodyText"/>
      </w:pPr>
      <w:r>
        <w:t xml:space="preserve">See for additional discussion of literate programming.</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23"/>
    <w:bookmarkStart w:id="34" w:name="week-1"/>
    <w:p>
      <w:pPr>
        <w:pStyle w:val="Heading1"/>
      </w:pPr>
      <w:r>
        <w:t xml:space="preserve">3. Week 1</w:t>
      </w:r>
    </w:p>
    <w:bookmarkStart w:id="31" w:name="summary"/>
    <w:p>
      <w:pPr>
        <w:pStyle w:val="Heading2"/>
      </w:pPr>
      <w:r>
        <w:t xml:space="preserve">3.1 Summary</w:t>
      </w:r>
    </w:p>
    <w:p>
      <w:pPr>
        <w:pStyle w:val="FirstParagraph"/>
      </w:pPr>
      <w:r>
        <w:t xml:space="preserve">This section summarises the lecture content and a graph of feature space derived from practical in SNAP operations.</w:t>
      </w:r>
    </w:p>
    <w:p>
      <w:pPr>
        <w:pStyle w:val="BodyText"/>
      </w:pPr>
      <w:r>
        <w:t xml:space="preserve">Passive data: Energy usually in eletcromagnetic form e.g., human eyes</w:t>
      </w:r>
    </w:p>
    <w:p>
      <w:pPr>
        <w:pStyle w:val="BodyText"/>
      </w:pPr>
      <w:r>
        <w:t xml:space="preserve">Active data: Energy in addition in illumination . e.g., radar.</w:t>
      </w:r>
    </w:p>
    <w:p>
      <w:pPr>
        <w:pStyle w:val="BodyText"/>
      </w:pPr>
      <w:r>
        <w:t xml:space="preserve">How EM waves interact with Earth’s surface and atmosphere: Reflection, scattering, absorption</w:t>
      </w:r>
    </w:p>
    <w:p>
      <w:pPr>
        <w:pStyle w:val="BodyText"/>
      </w:pPr>
      <w:r>
        <w:t xml:space="preserve">single</w:t>
      </w:r>
    </w:p>
    <w:p>
      <w:pPr>
        <w:pStyle w:val="BodyText"/>
      </w:pPr>
      <w:r>
        <w:t xml:space="preserve">dual</w:t>
      </w:r>
    </w:p>
    <w:p>
      <w:pPr>
        <w:pStyle w:val="BodyText"/>
      </w:pPr>
      <w:r>
        <w:t xml:space="preserve">quad</w:t>
      </w:r>
    </w:p>
    <w:bookmarkStart w:id="24" w:name="remotely-sensed-data-usually-comes-in"/>
    <w:p>
      <w:pPr>
        <w:pStyle w:val="Heading3"/>
      </w:pPr>
      <w:r>
        <w:t xml:space="preserve">3.1.1 remotely-sensed data usually comes in</w:t>
      </w:r>
    </w:p>
    <w:p>
      <w:pPr>
        <w:pStyle w:val="FirstParagraph"/>
      </w:pPr>
      <w:r>
        <w:t xml:space="preserve">Raster: file</w:t>
      </w:r>
    </w:p>
    <w:p>
      <w:pPr>
        <w:pStyle w:val="BodyText"/>
      </w:pPr>
      <w:r>
        <w:t xml:space="preserve">types: BIL, BSQM BIP, GeoTIFF</w:t>
      </w:r>
    </w:p>
    <w:bookmarkEnd w:id="24"/>
    <w:bookmarkStart w:id="25" w:name="four-resolutions"/>
    <w:p>
      <w:pPr>
        <w:pStyle w:val="Heading3"/>
      </w:pPr>
      <w:r>
        <w:t xml:space="preserve">3.1.2 Four resolutions:</w:t>
      </w:r>
    </w:p>
    <w:p>
      <w:pPr>
        <w:pStyle w:val="FirstParagraph"/>
      </w:pPr>
      <w:r>
        <w:t xml:space="preserve">Spatial: ranging from 10 cm to several kilos</w:t>
      </w:r>
    </w:p>
    <w:p>
      <w:pPr>
        <w:pStyle w:val="BodyText"/>
      </w:pPr>
      <w:r>
        <w:t xml:space="preserve">Spectral: How many different spectral bands are there? (Every feature on earth has a unique spectral signature)</w:t>
      </w:r>
    </w:p>
    <w:p>
      <w:pPr>
        <w:pStyle w:val="BodyText"/>
      </w:pPr>
      <w:r>
        <w:t xml:space="preserve">(Atmospheric windows: )</w:t>
      </w:r>
    </w:p>
    <w:p>
      <w:pPr>
        <w:pStyle w:val="BodyText"/>
      </w:pPr>
      <w:r>
        <w:t xml:space="preserve">(Vegetation: red edge -- infra bands. APP: look at the infra band s of city to identify who has access to vegetation)</w:t>
      </w:r>
    </w:p>
    <w:p>
      <w:pPr>
        <w:pStyle w:val="BodyText"/>
      </w:pPr>
      <w:r>
        <w:t xml:space="preserve">Radiometric resolution: resolution of cell’s value</w:t>
      </w:r>
    </w:p>
    <w:p>
      <w:pPr>
        <w:pStyle w:val="BodyText"/>
      </w:pPr>
      <w:r>
        <w:t xml:space="preserve">Temporal resolution: ussualy inversly relate3 to pixel size (spatial)</w:t>
      </w:r>
    </w:p>
    <w:p>
      <w:pPr>
        <w:pStyle w:val="BodyText"/>
      </w:pPr>
      <w:r>
        <w:t xml:space="preserve">MODIS</w:t>
      </w:r>
    </w:p>
    <w:bookmarkEnd w:id="25"/>
    <w:bookmarkStart w:id="30" w:name="practical"/>
    <w:p>
      <w:pPr>
        <w:pStyle w:val="Heading3"/>
      </w:pPr>
      <w:r>
        <w:t xml:space="preserve">3.1.3 Practical</w:t>
      </w:r>
    </w:p>
    <w:tbl>
      <w:tblPr>
        <w:tblStyle w:val="Table"/>
        <w:tblW w:type="pct" w:w="5000"/>
        <w:tblLook w:firstRow="0" w:lastRow="0" w:firstColumn="0" w:lastColumn="0" w:noHBand="0" w:noVBand="0" w:val="0000"/>
      </w:tblPr>
      <w:tblGrid>
        <w:gridCol w:w="7920"/>
      </w:tblGrid>
      <w:tr>
        <w:tc>
          <w:tcPr/>
          <w:bookmarkStart w:id="29" w:name="fig-vege"/>
          <w:p>
            <w:pPr>
              <w:pStyle w:val="Figure"/>
              <w:jc w:val="center"/>
            </w:pPr>
            <w:r>
              <w:drawing>
                <wp:inline>
                  <wp:extent cx="5334000" cy="2507334"/>
                  <wp:effectExtent b="0" l="0" r="0" t="0"/>
                  <wp:docPr descr="" title="" id="27" name="Picture"/>
                  <a:graphic>
                    <a:graphicData uri="http://schemas.openxmlformats.org/drawingml/2006/picture">
                      <pic:pic>
                        <pic:nvPicPr>
                          <pic:cNvPr descr="./images/spectral_feature_space_vege_B04_B08.png" id="28" name="Picture"/>
                          <pic:cNvPicPr>
                            <a:picLocks noChangeArrowheads="1" noChangeAspect="1"/>
                          </pic:cNvPicPr>
                        </pic:nvPicPr>
                        <pic:blipFill>
                          <a:blip r:embed="rId26"/>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Spectral Feature Space, Vegetation On Bands B04 and B08</w:t>
            </w:r>
          </w:p>
          <w:bookmarkEnd w:id="29"/>
        </w:tc>
      </w:tr>
    </w:tbl>
    <w:bookmarkEnd w:id="30"/>
    <w:bookmarkEnd w:id="31"/>
    <w:bookmarkStart w:id="32" w:name="application"/>
    <w:p>
      <w:pPr>
        <w:pStyle w:val="Heading2"/>
      </w:pPr>
      <w:r>
        <w:t xml:space="preserve">3.2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3.1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2"/>
    <w:bookmarkStart w:id="33" w:name="reflection"/>
    <w:p>
      <w:pPr>
        <w:pStyle w:val="Heading2"/>
      </w:pPr>
      <w:r>
        <w:t xml:space="preserve">3.3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3"/>
    <w:bookmarkEnd w:id="34"/>
    <w:bookmarkStart w:id="35" w:name="section"/>
    <w:p>
      <w:pPr>
        <w:pStyle w:val="Heading1"/>
      </w:pPr>
      <w:r>
        <w:t xml:space="preserve">4. </w:t>
      </w:r>
    </w:p>
    <w:bookmarkEnd w:id="35"/>
    <w:bookmarkStart w:id="60" w:name="week-3---remote-sensing-data"/>
    <w:p>
      <w:pPr>
        <w:pStyle w:val="Heading1"/>
      </w:pPr>
      <w:r>
        <w:t xml:space="preserve">5. Week 3 - Remote sensing data</w:t>
      </w:r>
    </w:p>
    <w:p>
      <w:pPr>
        <w:pStyle w:val="FirstParagraph"/>
      </w:pPr>
      <w:r>
        <w:t xml:space="preserve">In this week’s learning diary, we try to handle</w:t>
      </w:r>
    </w:p>
    <w:bookmarkStart w:id="43" w:name="summary-1"/>
    <w:p>
      <w:pPr>
        <w:pStyle w:val="Heading2"/>
      </w:pPr>
      <w:r>
        <w:t xml:space="preserve">5.1 Summary:</w:t>
      </w:r>
    </w:p>
    <w:bookmarkStart w:id="36" w:name="different-sensors"/>
    <w:p>
      <w:pPr>
        <w:pStyle w:val="Heading3"/>
      </w:pPr>
      <w:r>
        <w:t xml:space="preserve">5.1.1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6"/>
    <w:bookmarkStart w:id="37" w:name="geometric-correction"/>
    <w:p>
      <w:pPr>
        <w:pStyle w:val="Heading3"/>
      </w:pPr>
      <w:r>
        <w:t xml:space="preserve">5.1.2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7"/>
    <w:bookmarkStart w:id="38" w:name="atmosphric-correction"/>
    <w:p>
      <w:pPr>
        <w:pStyle w:val="Heading3"/>
      </w:pPr>
      <w:r>
        <w:t xml:space="preserve">5.1.3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01"/>
        </w:numPr>
      </w:pPr>
      <w:r>
        <w:t xml:space="preserve">Biophysical parameters needed (e.g. temperature, leaf area index, NDVI)</w:t>
      </w:r>
    </w:p>
    <w:p>
      <w:pPr>
        <w:numPr>
          <w:ilvl w:val="0"/>
          <w:numId w:val="1001"/>
        </w:numPr>
      </w:pPr>
      <w:r>
        <w:t xml:space="preserve">E.g. .. .NDVI is used in the Africa Famine Early Warning System and Livestock Early Warning System</w:t>
      </w:r>
    </w:p>
    <w:p>
      <w:pPr>
        <w:numPr>
          <w:ilvl w:val="0"/>
          <w:numId w:val="1001"/>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8"/>
    <w:bookmarkStart w:id="39" w:name="orthorectification-correction"/>
    <w:p>
      <w:pPr>
        <w:pStyle w:val="Heading3"/>
      </w:pPr>
      <w:r>
        <w:t xml:space="preserve">5.1.4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39"/>
    <w:bookmarkStart w:id="40" w:name="rdiometric-correction"/>
    <w:p>
      <w:pPr>
        <w:pStyle w:val="Heading3"/>
      </w:pPr>
      <w:r>
        <w:t xml:space="preserve">5.1.5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40"/>
    <w:bookmarkStart w:id="41" w:name="joining-data-sets"/>
    <w:p>
      <w:pPr>
        <w:pStyle w:val="Heading3"/>
      </w:pPr>
      <w:r>
        <w:t xml:space="preserve">5.1.6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41"/>
    <w:bookmarkStart w:id="42" w:name="image-enhancements"/>
    <w:p>
      <w:pPr>
        <w:pStyle w:val="Heading3"/>
      </w:pPr>
      <w:r>
        <w:t xml:space="preserve">5.1.7 Image Enhancements</w:t>
      </w:r>
    </w:p>
    <w:p>
      <w:pPr>
        <w:pStyle w:val="FirstParagraph"/>
      </w:pPr>
      <w:r>
        <w:t xml:space="preserve">Image stretch, Band ratioing, Normalised Burn Ratio, Edge enhancement, Filtering, PCA, Image fusion (see application) etc.</w:t>
      </w:r>
    </w:p>
    <w:bookmarkEnd w:id="42"/>
    <w:bookmarkEnd w:id="43"/>
    <w:bookmarkStart w:id="58" w:name="Xcdbeae6e80f1fe79c579cc2b7c795bcf25a3f61"/>
    <w:p>
      <w:pPr>
        <w:pStyle w:val="Heading2"/>
      </w:pPr>
      <w:r>
        <w:t xml:space="preserve">5.2 Application - Discussing image fusion in one literature</w:t>
      </w:r>
    </w:p>
    <w:p>
      <w:pPr>
        <w:pStyle w:val="FirstParagraph"/>
      </w:pPr>
      <w:bookmarkStart w:id="47" w:name="fig-mindmap01"/>
      <w:r>
        <w:drawing>
          <wp:inline>
            <wp:extent cx="5334000" cy="4025089"/>
            <wp:effectExtent b="0" l="0" r="0" t="0"/>
            <wp:docPr descr="" title="" id="45" name="Picture"/>
            <a:graphic>
              <a:graphicData uri="http://schemas.openxmlformats.org/drawingml/2006/picture">
                <pic:pic>
                  <pic:nvPicPr>
                    <pic:cNvPr descr="./images/image-620878088.png" id="46" name="Picture"/>
                    <pic:cNvPicPr>
                      <a:picLocks noChangeArrowheads="1" noChangeAspect="1"/>
                    </pic:cNvPicPr>
                  </pic:nvPicPr>
                  <pic:blipFill>
                    <a:blip r:embed="rId44"/>
                    <a:stretch>
                      <a:fillRect/>
                    </a:stretch>
                  </pic:blipFill>
                  <pic:spPr bwMode="auto">
                    <a:xfrm>
                      <a:off x="0" y="0"/>
                      <a:ext cx="5334000" cy="4025089"/>
                    </a:xfrm>
                    <a:prstGeom prst="rect">
                      <a:avLst/>
                    </a:prstGeom>
                    <a:noFill/>
                    <a:ln w="9525">
                      <a:noFill/>
                      <a:headEnd/>
                      <a:tailEnd/>
                    </a:ln>
                  </pic:spPr>
                </pic:pic>
              </a:graphicData>
            </a:graphic>
          </wp:inline>
        </w:drawing>
      </w:r>
      <w:bookmarkEnd w:id="47"/>
    </w:p>
    <w:p>
      <w:pPr>
        <w:pStyle w:val="BodyText"/>
      </w:pPr>
      <w:r>
        <w:t xml:space="preserve">From literature we delve in the nuances of levels on which we perform image fusion to acquire better results. The integration methods vary as the levels vary. @Better together: Integrating and fusing multispectral and radar satellite imagery to inform biodiversity monitoring, ecological research and conservation science.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2" w:name="image-fusion"/>
    <w:p>
      <w:pPr>
        <w:pStyle w:val="Heading3"/>
      </w:pPr>
      <w:r>
        <w:t xml:space="preserve">5.2.1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p>
      <w:pPr>
        <w:pStyle w:val="BodyText"/>
      </w:pPr>
      <w:bookmarkStart w:id="51" w:name="fig-fusiontech"/>
      <w:r>
        <w:drawing>
          <wp:inline>
            <wp:extent cx="5334000" cy="7873787"/>
            <wp:effectExtent b="0" l="0" r="0" t="0"/>
            <wp:docPr descr="" title="" id="49" name="Picture"/>
            <a:graphic>
              <a:graphicData uri="http://schemas.openxmlformats.org/drawingml/2006/picture">
                <pic:pic>
                  <pic:nvPicPr>
                    <pic:cNvPr descr="./images/fusion%20techniques.png" id="50" name="Picture"/>
                    <pic:cNvPicPr>
                      <a:picLocks noChangeArrowheads="1" noChangeAspect="1"/>
                    </pic:cNvPicPr>
                  </pic:nvPicPr>
                  <pic:blipFill>
                    <a:blip r:embed="rId48"/>
                    <a:stretch>
                      <a:fillRect/>
                    </a:stretch>
                  </pic:blipFill>
                  <pic:spPr bwMode="auto">
                    <a:xfrm>
                      <a:off x="0" y="0"/>
                      <a:ext cx="5334000" cy="7873787"/>
                    </a:xfrm>
                    <a:prstGeom prst="rect">
                      <a:avLst/>
                    </a:prstGeom>
                    <a:noFill/>
                    <a:ln w="9525">
                      <a:noFill/>
                      <a:headEnd/>
                      <a:tailEnd/>
                    </a:ln>
                  </pic:spPr>
                </pic:pic>
              </a:graphicData>
            </a:graphic>
          </wp:inline>
        </w:drawing>
      </w:r>
      <w:bookmarkEnd w:id="51"/>
    </w:p>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2"/>
    <w:bookmarkStart w:id="57" w:name="implementation-approach"/>
    <w:p>
      <w:pPr>
        <w:pStyle w:val="Heading3"/>
      </w:pPr>
      <w:r>
        <w:t xml:space="preserve">5.2.2 Implementation approach</w:t>
      </w:r>
      <w:r>
        <w:t xml:space="preserve"> </w:t>
      </w:r>
      <w:bookmarkStart w:id="56" w:name="fig-impleApproach"/>
      <w:r>
        <w:drawing>
          <wp:inline>
            <wp:extent cx="5334000" cy="3920717"/>
            <wp:effectExtent b="0" l="0" r="0" t="0"/>
            <wp:docPr descr="" title="" id="54" name="Picture"/>
            <a:graphic>
              <a:graphicData uri="http://schemas.openxmlformats.org/drawingml/2006/picture">
                <pic:pic>
                  <pic:nvPicPr>
                    <pic:cNvPr descr="./images/Implementation%20approach.png" id="55" name="Picture"/>
                    <pic:cNvPicPr>
                      <a:picLocks noChangeArrowheads="1" noChangeAspect="1"/>
                    </pic:cNvPicPr>
                  </pic:nvPicPr>
                  <pic:blipFill>
                    <a:blip r:embed="rId53"/>
                    <a:stretch>
                      <a:fillRect/>
                    </a:stretch>
                  </pic:blipFill>
                  <pic:spPr bwMode="auto">
                    <a:xfrm>
                      <a:off x="0" y="0"/>
                      <a:ext cx="5334000" cy="3920717"/>
                    </a:xfrm>
                    <a:prstGeom prst="rect">
                      <a:avLst/>
                    </a:prstGeom>
                    <a:noFill/>
                    <a:ln w="9525">
                      <a:noFill/>
                      <a:headEnd/>
                      <a:tailEnd/>
                    </a:ln>
                  </pic:spPr>
                </pic:pic>
              </a:graphicData>
            </a:graphic>
          </wp:inline>
        </w:drawing>
      </w:r>
      <w:bookmarkEnd w:id="56"/>
    </w:p>
    <w:p>
      <w:pPr>
        <w:pStyle w:val="FirstParagraph"/>
      </w:pPr>
      <w:r>
        <w:rPr>
          <w:iCs/>
          <w:i/>
          <w:bCs/>
          <w:b/>
        </w:rPr>
        <w:t xml:space="preserve">pixel-level</w:t>
      </w:r>
    </w:p>
    <w:p>
      <w:pPr>
        <w:numPr>
          <w:ilvl w:val="0"/>
          <w:numId w:val="1002"/>
        </w:numPr>
        <w:pStyle w:val="Compact"/>
      </w:pPr>
      <w:r>
        <w:t xml:space="preserve">Component substitution techniques: such as principal component analysis (PCA), Intensity-hue-saturation (IHS). </w:t>
      </w:r>
      <w:r>
        <w:br/>
      </w:r>
    </w:p>
    <w:p>
      <w:pPr>
        <w:numPr>
          <w:ilvl w:val="0"/>
          <w:numId w:val="1002"/>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02"/>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02"/>
        </w:numPr>
        <w:pStyle w:val="Compact"/>
      </w:pPr>
      <w:r>
        <w:t xml:space="preserve">Multi-resolution analysis, such as **Wavelet transformation. Decompose multispectral and radar imagery into their respective low- and high-frequency components</w:t>
      </w:r>
      <w:r>
        <w:br/>
      </w:r>
    </w:p>
    <w:p>
      <w:pPr>
        <w:numPr>
          <w:ilvl w:val="0"/>
          <w:numId w:val="1002"/>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7"/>
    <w:bookmarkEnd w:id="58"/>
    <w:bookmarkStart w:id="59" w:name="reflection-1"/>
    <w:p>
      <w:pPr>
        <w:pStyle w:val="Heading2"/>
      </w:pPr>
      <w:r>
        <w:t xml:space="preserve">5.3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59"/>
    <w:bookmarkEnd w:id="60"/>
    <w:bookmarkStart w:id="63" w:name="week4---policy-applications"/>
    <w:p>
      <w:pPr>
        <w:pStyle w:val="Heading1"/>
      </w:pPr>
      <w:r>
        <w:t xml:space="preserve">6. Week4 - Policy applications</w:t>
      </w:r>
    </w:p>
    <w:bookmarkStart w:id="62" w:name="summary-2"/>
    <w:p>
      <w:pPr>
        <w:pStyle w:val="Heading2"/>
      </w:pPr>
      <w:r>
        <w:t xml:space="preserve">6.1 Summary</w:t>
      </w:r>
    </w:p>
    <w:bookmarkStart w:id="61" w:name="sensor-data"/>
    <w:p>
      <w:pPr>
        <w:pStyle w:val="Heading3"/>
      </w:pPr>
      <w:r>
        <w:t xml:space="preserve">6.1.1 Sensor Data</w:t>
      </w:r>
    </w:p>
    <w:bookmarkEnd w:id="61"/>
    <w:bookmarkEnd w:id="62"/>
    <w:bookmarkEnd w:id="63"/>
    <w:bookmarkStart w:id="71" w:name="Xdb68c15a687e4787aa1e63d21a520aabcab728b"/>
    <w:p>
      <w:pPr>
        <w:pStyle w:val="Heading1"/>
      </w:pPr>
      <w:r>
        <w:t xml:space="preserve">7.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03"/>
        </w:numPr>
        <w:pStyle w:val="Compact"/>
      </w:pPr>
      <w:r>
        <w:t xml:space="preserve">The set up of GEE, its terms and jargon, and client vs server side operations, see Table 1</w:t>
      </w:r>
    </w:p>
    <w:p>
      <w:pPr>
        <w:numPr>
          <w:ilvl w:val="0"/>
          <w:numId w:val="1003"/>
        </w:numPr>
        <w:pStyle w:val="Compact"/>
      </w:pPr>
      <w:r>
        <w:t xml:space="preserve">How GEE uses Javascript and how mapping functions are used instead of loops</w:t>
      </w:r>
    </w:p>
    <w:p>
      <w:pPr>
        <w:numPr>
          <w:ilvl w:val="0"/>
          <w:numId w:val="1003"/>
        </w:numPr>
        <w:pStyle w:val="Compact"/>
      </w:pPr>
      <w:r>
        <w:t xml:space="preserve">The concept of scale in GEE, which refers to both the volume of analysis and pixel resolution</w:t>
      </w:r>
    </w:p>
    <w:p>
      <w:pPr>
        <w:numPr>
          <w:ilvl w:val="0"/>
          <w:numId w:val="1003"/>
        </w:numPr>
        <w:pStyle w:val="Compact"/>
      </w:pPr>
      <w:r>
        <w:t xml:space="preserve">How GEE aggregates the image to fit a 256x256 grid.</w:t>
      </w:r>
    </w:p>
    <w:p>
      <w:pPr>
        <w:pStyle w:val="FirstParagraph"/>
      </w:pPr>
      <w:r>
        <w:t xml:space="preserve">Objects and methods in GEE are introduced:</w:t>
      </w:r>
    </w:p>
    <w:p>
      <w:pPr>
        <w:numPr>
          <w:ilvl w:val="0"/>
          <w:numId w:val="1004"/>
        </w:numPr>
        <w:pStyle w:val="Compact"/>
      </w:pPr>
      <w:r>
        <w:t xml:space="preserve">E.g. geometries, features, feature collections, and</w:t>
      </w:r>
    </w:p>
    <w:p>
      <w:pPr>
        <w:numPr>
          <w:ilvl w:val="0"/>
          <w:numId w:val="1004"/>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68" w:name="summary-3"/>
    <w:p>
      <w:pPr>
        <w:pStyle w:val="Heading2"/>
      </w:pPr>
      <w:r>
        <w:t xml:space="preserve">7.1 Summary</w:t>
      </w:r>
    </w:p>
    <w:bookmarkStart w:id="64" w:name="gee-basics"/>
    <w:p>
      <w:pPr>
        <w:pStyle w:val="Heading3"/>
      </w:pPr>
      <w:r>
        <w:t xml:space="preserve">7.1.1 GEE Basics</w:t>
      </w:r>
    </w:p>
    <w:p>
      <w:pPr>
        <w:pStyle w:val="FirstParagraph"/>
      </w:pPr>
      <w:r>
        <w:t xml:space="preserve">JavaScript, where objects are dictionaries:</w:t>
      </w:r>
    </w:p>
    <w:p>
      <w:pPr>
        <w:numPr>
          <w:ilvl w:val="0"/>
          <w:numId w:val="1005"/>
        </w:numPr>
        <w:pStyle w:val="Compact"/>
      </w:pPr>
      <w:r>
        <w:t xml:space="preserve">We have ee (EarthEngine), a powerful package. Anything starting with ee (proxy objects) are stored on the server.</w:t>
      </w:r>
    </w:p>
    <w:p>
      <w:pPr>
        <w:numPr>
          <w:ilvl w:val="0"/>
          <w:numId w:val="1005"/>
        </w:numPr>
        <w:pStyle w:val="Compact"/>
      </w:pPr>
      <w:r>
        <w:t xml:space="preserve">Problems:</w:t>
      </w:r>
    </w:p>
    <w:p>
      <w:pPr>
        <w:numPr>
          <w:ilvl w:val="1"/>
          <w:numId w:val="1006"/>
        </w:numPr>
        <w:pStyle w:val="Compact"/>
      </w:pPr>
      <w:r>
        <w:t xml:space="preserve">We don’t iterate the data on the server; instead, we map (using a mapping function) them into objects (variables) so we only load them once.</w:t>
      </w:r>
    </w:p>
    <w:p>
      <w:pPr>
        <w:numPr>
          <w:ilvl w:val="1"/>
          <w:numId w:val="1006"/>
        </w:numPr>
        <w:pStyle w:val="Compact"/>
      </w:pPr>
      <w:r>
        <w:t xml:space="preserve">There are also some sort of server-wide functions.</w:t>
      </w:r>
    </w:p>
    <w:p>
      <w:pPr>
        <w:numPr>
          <w:ilvl w:val="1"/>
          <w:numId w:val="1006"/>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07"/>
        </w:numPr>
        <w:pStyle w:val="Compact"/>
      </w:pPr>
      <w:r>
        <w:t xml:space="preserve">Pixel resolution, set by the output.</w:t>
      </w:r>
    </w:p>
    <w:p>
      <w:pPr>
        <w:numPr>
          <w:ilvl w:val="0"/>
          <w:numId w:val="1007"/>
        </w:numPr>
        <w:pStyle w:val="Compact"/>
      </w:pPr>
      <w:r>
        <w:t xml:space="preserve">GEE does resampling, aggregating your input to a 256*256, mainly down-sampling.</w:t>
      </w:r>
    </w:p>
    <w:p>
      <w:pPr>
        <w:pStyle w:val="FirstParagraph"/>
      </w:pPr>
      <w:r>
        <w:t xml:space="preserve">Table 1: Terms and Jargon Related to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Proxy objects</w:t>
            </w:r>
          </w:p>
        </w:tc>
        <w:tc>
          <w:tcPr/>
          <w:p>
            <w:pPr>
              <w:pStyle w:val="Compact"/>
              <w:jc w:val="left"/>
            </w:pPr>
            <w:r>
              <w:t xml:space="preserve">GEE objects that are stored on the server and have no data in the script.</w:t>
            </w:r>
          </w:p>
        </w:tc>
      </w:tr>
    </w:tbl>
    <w:p>
      <w:pPr>
        <w:pStyle w:val="BodyText"/>
      </w:pPr>
      <w:r>
        <w:t xml:space="preserve">Table 2: Differences between Client and Server Side in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Aspect</w:t>
            </w:r>
          </w:p>
        </w:tc>
        <w:tc>
          <w:tcPr/>
          <w:p>
            <w:pPr>
              <w:pStyle w:val="Compact"/>
              <w:jc w:val="left"/>
            </w:pPr>
            <w:r>
              <w:t xml:space="preserve">Definition</w:t>
            </w:r>
          </w:p>
        </w:tc>
      </w:tr>
      <w:tr>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r>
        <w:tc>
          <w:tcPr/>
          <w:p>
            <w:pPr>
              <w:pStyle w:val="Compact"/>
              <w:jc w:val="left"/>
            </w:pPr>
            <w:r>
              <w:t xml:space="preserve">Scale</w:t>
            </w:r>
          </w:p>
        </w:tc>
        <w:tc>
          <w:tcPr/>
          <w:p>
            <w:pPr>
              <w:pStyle w:val="Compact"/>
              <w:jc w:val="left"/>
            </w:pPr>
            <w:r>
              <w:t xml:space="preserve">Scale refers to pixel resolution in GEE. The scale is set by the output, not the input, and Earth Engine selects the pyramid with the closest scale to analysis.</w:t>
            </w:r>
          </w:p>
        </w:tc>
      </w:tr>
    </w:tbl>
    <w:bookmarkEnd w:id="64"/>
    <w:bookmarkStart w:id="65" w:name="gee-objects"/>
    <w:p>
      <w:pPr>
        <w:pStyle w:val="Heading3"/>
      </w:pPr>
      <w:r>
        <w:t xml:space="preserve">7.1.2 GEE Objects</w:t>
      </w:r>
    </w:p>
    <w:p>
      <w:pPr>
        <w:pStyle w:val="FirstParagraph"/>
      </w:pPr>
      <w:r>
        <w:t xml:space="preserve">Objects:</w:t>
      </w:r>
    </w:p>
    <w:p>
      <w:pPr>
        <w:numPr>
          <w:ilvl w:val="0"/>
          <w:numId w:val="1008"/>
        </w:numPr>
        <w:pStyle w:val="Compact"/>
      </w:pPr>
      <w:r>
        <w:t xml:space="preserve">Images (Rasters), geometry, ImageCol, features, featureCol, joins, arrays, chart.</w:t>
      </w:r>
    </w:p>
    <w:p>
      <w:pPr>
        <w:pStyle w:val="FirstParagraph"/>
      </w:pPr>
      <w:r>
        <w:t xml:space="preserve">Table 3: Geometry Types and Features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Type of Geometry</w:t>
            </w:r>
          </w:p>
        </w:tc>
        <w:tc>
          <w:tcPr/>
          <w:p>
            <w:pPr>
              <w:pStyle w:val="Compact"/>
              <w:jc w:val="left"/>
            </w:pPr>
            <w:r>
              <w:t xml:space="preserve">Description</w:t>
            </w:r>
          </w:p>
        </w:tc>
      </w:tr>
      <w:tr>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MultiGeometry</w:t>
            </w:r>
          </w:p>
        </w:tc>
        <w:tc>
          <w:tcPr/>
          <w:p>
            <w:pPr>
              <w:pStyle w:val="Compact"/>
              <w:jc w:val="left"/>
            </w:pPr>
            <w:r>
              <w:t xml:space="preserve">A collection of different types of geometries</w:t>
            </w:r>
          </w:p>
        </w:tc>
      </w:tr>
    </w:tbl>
    <w:bookmarkEnd w:id="65"/>
    <w:bookmarkStart w:id="66" w:name="gee-processes-and-applicationsoutputs"/>
    <w:p>
      <w:pPr>
        <w:pStyle w:val="Heading3"/>
      </w:pPr>
      <w:r>
        <w:t xml:space="preserve">7.1.3 GEE Processes and Applications/Outputs</w:t>
      </w:r>
    </w:p>
    <w:p>
      <w:pPr>
        <w:pStyle w:val="FirstParagraph"/>
      </w:pPr>
      <w:r>
        <w:t xml:space="preserve">GEE applications:</w:t>
      </w:r>
    </w:p>
    <w:p>
      <w:pPr>
        <w:numPr>
          <w:ilvl w:val="0"/>
          <w:numId w:val="1009"/>
        </w:numPr>
        <w:pStyle w:val="Compact"/>
      </w:pPr>
      <w:r>
        <w:t xml:space="preserve">Reducing types.</w:t>
      </w:r>
    </w:p>
    <w:p>
      <w:pPr>
        <w:numPr>
          <w:ilvl w:val="0"/>
          <w:numId w:val="1009"/>
        </w:numPr>
        <w:pStyle w:val="Compact"/>
      </w:pPr>
      <w:r>
        <w:t xml:space="preserve">Different to filterBounds() that filters the area of interest, to do zonal statistics, we have reduceRegion(), where regions are subcategories of the area of interest.</w:t>
      </w:r>
    </w:p>
    <w:p>
      <w:pPr>
        <w:numPr>
          <w:ilvl w:val="0"/>
          <w:numId w:val="1009"/>
        </w:numPr>
        <w:pStyle w:val="Compact"/>
      </w:pPr>
      <w:r>
        <w:t xml:space="preserve">Also, we have reduceNeighborhood(), which is a bit like a kind of image enhancement.</w:t>
      </w:r>
    </w:p>
    <w:p>
      <w:pPr>
        <w:pStyle w:val="FirstParagraph"/>
      </w:pPr>
      <w:r>
        <w:t xml:space="preserve">Linear Regressions:</w:t>
      </w:r>
    </w:p>
    <w:p>
      <w:pPr>
        <w:numPr>
          <w:ilvl w:val="0"/>
          <w:numId w:val="1010"/>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10"/>
        </w:numPr>
        <w:pStyle w:val="Compact"/>
      </w:pPr>
      <w:r>
        <w:t xml:space="preserve">Something about constant bound.</w:t>
      </w:r>
    </w:p>
    <w:p>
      <w:pPr>
        <w:pStyle w:val="FirstParagraph"/>
      </w:pPr>
      <w:r>
        <w:t xml:space="preserve">Joins:</w:t>
      </w:r>
    </w:p>
    <w:p>
      <w:pPr>
        <w:numPr>
          <w:ilvl w:val="0"/>
          <w:numId w:val="1011"/>
        </w:numPr>
        <w:pStyle w:val="Compact"/>
      </w:pPr>
      <w:r>
        <w:t xml:space="preserve">In GEE, everything, e.g. within a buffer, intersect, etc. needs the mediation of Join (apply()).</w:t>
      </w:r>
    </w:p>
    <w:p>
      <w:pPr>
        <w:numPr>
          <w:ilvl w:val="0"/>
          <w:numId w:val="1011"/>
        </w:numPr>
        <w:pStyle w:val="Compact"/>
      </w:pPr>
      <w:r>
        <w:t xml:space="preserve">To perform joins, we need to put data into Filter().</w:t>
      </w:r>
    </w:p>
    <w:p>
      <w:pPr>
        <w:pStyle w:val="FirstParagraph"/>
      </w:pPr>
      <w:r>
        <w:t xml:space="preserve">Classifiers:</w:t>
      </w:r>
    </w:p>
    <w:p>
      <w:pPr>
        <w:numPr>
          <w:ilvl w:val="0"/>
          <w:numId w:val="1012"/>
        </w:numPr>
        <w:pStyle w:val="Compact"/>
      </w:pPr>
      <w:r>
        <w:t xml:space="preserve">Per-pixel</w:t>
      </w:r>
    </w:p>
    <w:p>
      <w:pPr>
        <w:numPr>
          <w:ilvl w:val="0"/>
          <w:numId w:val="1012"/>
        </w:numPr>
        <w:pStyle w:val="Compact"/>
      </w:pPr>
      <w:r>
        <w:t xml:space="preserve">sub-pixel</w:t>
      </w:r>
    </w:p>
    <w:p>
      <w:pPr>
        <w:pStyle w:val="FirstParagraph"/>
      </w:pPr>
      <w:r>
        <w:t xml:space="preserve">Table 4: GEE Processes and Applications/Outputs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6"/>
    <w:bookmarkStart w:id="67" w:name="limitations"/>
    <w:p>
      <w:pPr>
        <w:pStyle w:val="Heading3"/>
      </w:pPr>
      <w:r>
        <w:t xml:space="preserve">7.1.4 Limitations</w:t>
      </w:r>
    </w:p>
    <w:p>
      <w:pPr>
        <w:pStyle w:val="FirstParagraph"/>
      </w:pPr>
      <w:r>
        <w:t xml:space="preserve">No support for phase data, needs SNAP.</w:t>
      </w:r>
    </w:p>
    <w:bookmarkEnd w:id="67"/>
    <w:bookmarkEnd w:id="68"/>
    <w:bookmarkStart w:id="69" w:name="application-1"/>
    <w:p>
      <w:pPr>
        <w:pStyle w:val="Heading2"/>
      </w:pPr>
      <w:r>
        <w:t xml:space="preserve">7.2 Application</w:t>
      </w:r>
    </w:p>
    <w:bookmarkEnd w:id="69"/>
    <w:bookmarkStart w:id="70" w:name="reflection-2"/>
    <w:p>
      <w:pPr>
        <w:pStyle w:val="Heading2"/>
      </w:pPr>
      <w:r>
        <w:t xml:space="preserve">7.3 Reflection</w:t>
      </w:r>
    </w:p>
    <w:p>
      <w:pPr>
        <w:pStyle w:val="FirstParagraph"/>
      </w:pPr>
      <w:r>
        <w:t xml:space="preserve">GEE-using skills can be a valuable asset for a spatial data scientist, as it allows for complex spatial analysis at scale. Traditional GIS software is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bookmarkEnd w:id="70"/>
    <w:bookmarkEnd w:id="71"/>
    <w:bookmarkStart w:id="72" w:name="section-1"/>
    <w:p>
      <w:pPr>
        <w:pStyle w:val="Heading1"/>
      </w:pPr>
      <w:r>
        <w:t xml:space="preserve">8. </w:t>
      </w:r>
    </w:p>
    <w:bookmarkEnd w:id="72"/>
    <w:bookmarkStart w:id="93" w:name="week7---classification-and-accuracy"/>
    <w:p>
      <w:pPr>
        <w:pStyle w:val="Heading1"/>
      </w:pPr>
      <w:r>
        <w:t xml:space="preserve">9.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90" w:name="summary-4"/>
    <w:p>
      <w:pPr>
        <w:pStyle w:val="Heading2"/>
      </w:pPr>
      <w:r>
        <w:t xml:space="preserve">9.1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76" w:name="fig-mindmap"/>
      <w:r>
        <w:drawing>
          <wp:inline>
            <wp:extent cx="5334000" cy="3588373"/>
            <wp:effectExtent b="0" l="0" r="0" t="0"/>
            <wp:docPr descr="Classification in Remote Sensing" title="" id="74" name="Picture"/>
            <a:graphic>
              <a:graphicData uri="http://schemas.openxmlformats.org/drawingml/2006/picture">
                <pic:pic>
                  <pic:nvPicPr>
                    <pic:cNvPr descr="./images/MindMap.png" id="75" name="Picture"/>
                    <pic:cNvPicPr>
                      <a:picLocks noChangeArrowheads="1" noChangeAspect="1"/>
                    </pic:cNvPicPr>
                  </pic:nvPicPr>
                  <pic:blipFill>
                    <a:blip r:embed="rId73"/>
                    <a:stretch>
                      <a:fillRect/>
                    </a:stretch>
                  </pic:blipFill>
                  <pic:spPr bwMode="auto">
                    <a:xfrm>
                      <a:off x="0" y="0"/>
                      <a:ext cx="5334000" cy="3588373"/>
                    </a:xfrm>
                    <a:prstGeom prst="rect">
                      <a:avLst/>
                    </a:prstGeom>
                    <a:noFill/>
                    <a:ln w="9525">
                      <a:noFill/>
                      <a:headEnd/>
                      <a:tailEnd/>
                    </a:ln>
                  </pic:spPr>
                </pic:pic>
              </a:graphicData>
            </a:graphic>
          </wp:inline>
        </w:drawing>
      </w:r>
      <w:bookmarkEnd w:id="76"/>
    </w:p>
    <w:bookmarkStart w:id="77" w:name="data"/>
    <w:p>
      <w:pPr>
        <w:pStyle w:val="Heading3"/>
      </w:pPr>
      <w:r>
        <w:t xml:space="preserve">9.1.1 Data</w:t>
      </w:r>
    </w:p>
    <w:p>
      <w:pPr>
        <w:numPr>
          <w:ilvl w:val="0"/>
          <w:numId w:val="1013"/>
        </w:numPr>
      </w:pPr>
      <w:r>
        <w:t xml:space="preserve">Surface Reflectance (SR)</w:t>
      </w:r>
    </w:p>
    <w:p>
      <w:pPr>
        <w:numPr>
          <w:ilvl w:val="0"/>
          <w:numId w:val="1013"/>
        </w:numPr>
      </w:pPr>
      <w:r>
        <w:t xml:space="preserve">Top of Atmosphere (TOA)</w:t>
      </w:r>
    </w:p>
    <w:p>
      <w:pPr>
        <w:pStyle w:val="FirstParagraph"/>
      </w:pPr>
      <w:r>
        <w:t xml:space="preserve">A mixed way of doing urban recognition</w:t>
      </w:r>
    </w:p>
    <w:bookmarkEnd w:id="77"/>
    <w:bookmarkStart w:id="78" w:name="obia-object-based-image-analysis"/>
    <w:p>
      <w:pPr>
        <w:pStyle w:val="Heading3"/>
      </w:pPr>
      <w:r>
        <w:t xml:space="preserve">9.1.2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78"/>
    <w:bookmarkStart w:id="80" w:name="sub-pixel-analysis"/>
    <w:p>
      <w:pPr>
        <w:pStyle w:val="Heading3"/>
      </w:pPr>
      <w:r>
        <w:t xml:space="preserve">9.1.3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79" w:name="pixel-purity"/>
    <w:p>
      <w:pPr>
        <w:pStyle w:val="Heading4"/>
      </w:pPr>
      <w:r>
        <w:t xml:space="preserve">9.1.3.1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79"/>
    <w:bookmarkEnd w:id="80"/>
    <w:bookmarkStart w:id="81" w:name="accuracy-assessment"/>
    <w:p>
      <w:pPr>
        <w:pStyle w:val="Heading3"/>
      </w:pPr>
      <w:r>
        <w:t xml:space="preserve">9.1.4 Accuracy assessment</w:t>
      </w:r>
    </w:p>
    <w:p>
      <w:pPr>
        <w:numPr>
          <w:ilvl w:val="0"/>
          <w:numId w:val="1014"/>
        </w:numPr>
      </w:pPr>
      <w:r>
        <w:t xml:space="preserve">Producer accuracy: Recall</w:t>
      </w:r>
    </w:p>
    <w:p>
      <w:pPr>
        <w:numPr>
          <w:ilvl w:val="0"/>
          <w:numId w:val="1014"/>
        </w:numPr>
      </w:pPr>
      <w:r>
        <w:t xml:space="preserve">User’s accuracy: Precision</w:t>
      </w:r>
    </w:p>
    <w:p>
      <w:pPr>
        <w:numPr>
          <w:ilvl w:val="0"/>
          <w:numId w:val="1014"/>
        </w:numPr>
      </w:pPr>
      <w:r>
        <w:t xml:space="preserve">Overall accuracy: not equivalent to F1</w:t>
      </w:r>
    </w:p>
    <w:p>
      <w:pPr>
        <w:numPr>
          <w:ilvl w:val="0"/>
          <w:numId w:val="1014"/>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15"/>
        </w:numPr>
      </w:pPr>
      <w:r>
        <w:t xml:space="preserve">F1: issue: TN not considered; Recall and precision are not equally important yet equally weighted in F1</w:t>
      </w:r>
    </w:p>
    <w:p>
      <w:pPr>
        <w:numPr>
          <w:ilvl w:val="0"/>
          <w:numId w:val="1015"/>
        </w:numPr>
      </w:pPr>
      <w:r>
        <w:t xml:space="preserve">Receiver Operating Characteristic Curve: True positive rate and false positive rate are all good. We want to maximise the area under the curve in a True positive rate vs false positive rate plot.</w:t>
      </w:r>
    </w:p>
    <w:bookmarkEnd w:id="81"/>
    <w:bookmarkStart w:id="86" w:name="workflow"/>
    <w:p>
      <w:pPr>
        <w:pStyle w:val="Heading3"/>
      </w:pPr>
      <w:r>
        <w:t xml:space="preserve">9.1.5 Workflow</w:t>
      </w:r>
    </w:p>
    <w:p>
      <w:pPr>
        <w:numPr>
          <w:ilvl w:val="0"/>
          <w:numId w:val="1016"/>
        </w:numPr>
      </w:pPr>
      <w:r>
        <w:t xml:space="preserve">(Potentially use unsupervised classification to understand your data</w:t>
      </w:r>
    </w:p>
    <w:p>
      <w:pPr>
        <w:numPr>
          <w:ilvl w:val="0"/>
          <w:numId w:val="1016"/>
        </w:numPr>
      </w:pPr>
      <w:r>
        <w:t xml:space="preserve">Class definition (Potentially use unsupervised classification)</w:t>
      </w:r>
    </w:p>
    <w:p>
      <w:pPr>
        <w:numPr>
          <w:ilvl w:val="0"/>
          <w:numId w:val="1016"/>
        </w:numPr>
      </w:pPr>
      <w:r>
        <w:t xml:space="preserve">Preprocessing</w:t>
      </w:r>
    </w:p>
    <w:p>
      <w:pPr>
        <w:numPr>
          <w:ilvl w:val="0"/>
          <w:numId w:val="1016"/>
        </w:numPr>
      </w:pPr>
      <w:r>
        <w:t xml:space="preserve">Training</w:t>
      </w:r>
    </w:p>
    <w:p>
      <w:pPr>
        <w:numPr>
          <w:ilvl w:val="0"/>
          <w:numId w:val="1016"/>
        </w:numPr>
      </w:pPr>
      <w:r>
        <w:t xml:space="preserve">Pixel Assignment</w:t>
      </w:r>
    </w:p>
    <w:p>
      <w:pPr>
        <w:numPr>
          <w:ilvl w:val="0"/>
          <w:numId w:val="1016"/>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9.1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85" w:name="fig-flowchart"/>
          <w:p>
            <w:pPr>
              <w:pStyle w:val="Figure"/>
              <w:jc w:val="center"/>
            </w:pPr>
            <w:r>
              <w:drawing>
                <wp:inline>
                  <wp:extent cx="5334000" cy="9684734"/>
                  <wp:effectExtent b="0" l="0" r="0" t="0"/>
                  <wp:docPr descr="" title="" id="83" name="Picture"/>
                  <a:graphic>
                    <a:graphicData uri="http://schemas.openxmlformats.org/drawingml/2006/picture">
                      <pic:pic>
                        <pic:nvPicPr>
                          <pic:cNvPr descr="./images/FlowChart.png" id="84" name="Picture"/>
                          <pic:cNvPicPr>
                            <a:picLocks noChangeArrowheads="1" noChangeAspect="1"/>
                          </pic:cNvPicPr>
                        </pic:nvPicPr>
                        <pic:blipFill>
                          <a:blip r:embed="rId82"/>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Classification Workflow, courtesy: myself</w:t>
            </w:r>
          </w:p>
          <w:bookmarkEnd w:id="85"/>
        </w:tc>
      </w:tr>
    </w:tbl>
    <w:bookmarkEnd w:id="86"/>
    <w:bookmarkStart w:id="88" w:name="X21c006f554c245b4c08edf3b2e92c3bcece0970"/>
    <w:p>
      <w:pPr>
        <w:pStyle w:val="Heading3"/>
      </w:pPr>
      <w:r>
        <w:t xml:space="preserve">9.1.6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87" w:name="spatial-cross-validation"/>
    <w:p>
      <w:pPr>
        <w:pStyle w:val="Heading4"/>
      </w:pPr>
      <w:r>
        <w:t xml:space="preserve">9.1.6.1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87"/>
    <w:bookmarkEnd w:id="88"/>
    <w:bookmarkStart w:id="89" w:name="Xf0a48a4a93cee088f6011d1480b3264f12f57e8"/>
    <w:p>
      <w:pPr>
        <w:pStyle w:val="Heading3"/>
      </w:pPr>
      <w:r>
        <w:t xml:space="preserve">9.1.7 Approaches to deal with Spatial Autocorrelation</w:t>
      </w:r>
    </w:p>
    <w:p>
      <w:pPr>
        <w:pStyle w:val="FirstParagraph"/>
      </w:pPr>
      <w:r>
        <w:t xml:space="preserve">Object-based image classification</w:t>
      </w:r>
    </w:p>
    <w:p>
      <w:pPr>
        <w:pStyle w:val="BodyText"/>
      </w:pPr>
      <w:r>
        <w:t xml:space="preserve">Moran’s I (Spatial Cross Validation)</w:t>
      </w:r>
    </w:p>
    <w:bookmarkEnd w:id="89"/>
    <w:bookmarkEnd w:id="90"/>
    <w:bookmarkStart w:id="91" w:name="application---to-be-completed"/>
    <w:p>
      <w:pPr>
        <w:pStyle w:val="Heading2"/>
      </w:pPr>
      <w:r>
        <w:t xml:space="preserve">9.2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91"/>
    <w:bookmarkStart w:id="92" w:name="reflection-3"/>
    <w:p>
      <w:pPr>
        <w:pStyle w:val="Heading2"/>
      </w:pPr>
      <w:r>
        <w:t xml:space="preserve">9.3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92"/>
    <w:bookmarkEnd w:id="93"/>
    <w:bookmarkStart w:id="94" w:name="section-2"/>
    <w:p>
      <w:pPr>
        <w:pStyle w:val="Heading1"/>
      </w:pPr>
      <w:r>
        <w:t xml:space="preserve">10. </w:t>
      </w:r>
    </w:p>
    <w:bookmarkEnd w:id="94"/>
    <w:bookmarkStart w:id="111" w:name="week8---temperature-and-policy"/>
    <w:p>
      <w:pPr>
        <w:pStyle w:val="Heading1"/>
      </w:pPr>
      <w:r>
        <w:t xml:space="preserve">11. Week8 - T</w:t>
      </w:r>
      <w:r>
        <w:rPr>
          <w:bCs/>
          <w:b/>
        </w:rPr>
        <w:t xml:space="preserve">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01" w:name="summary-5"/>
    <w:p>
      <w:pPr>
        <w:pStyle w:val="Heading2"/>
      </w:pPr>
      <w:r>
        <w:t xml:space="preserve">11.1 Summary</w:t>
      </w:r>
    </w:p>
    <w:bookmarkStart w:id="100" w:name="Xf1601bdf9a6da49f4bf579e5c88a25b27663356"/>
    <w:p>
      <w:pPr>
        <w:pStyle w:val="Heading3"/>
      </w:pPr>
      <w:r>
        <w:t xml:space="preserve">11.1.1 Urban Heating Islands (UHI) problem and plans</w:t>
      </w:r>
    </w:p>
    <w:bookmarkStart w:id="95" w:name="causes"/>
    <w:p>
      <w:pPr>
        <w:pStyle w:val="Heading4"/>
      </w:pPr>
      <w:r>
        <w:t xml:space="preserve">11.1.1.1 Causes</w:t>
      </w:r>
    </w:p>
    <w:p>
      <w:pPr>
        <w:pStyle w:val="FirstParagraph"/>
      </w:pPr>
      <w:r>
        <w:t xml:space="preserve">Urban areas have comparatively higher atmospheric and surface temperatures than surrounding rural areas, mainly due to</w:t>
      </w:r>
    </w:p>
    <w:p>
      <w:pPr>
        <w:numPr>
          <w:ilvl w:val="0"/>
          <w:numId w:val="1017"/>
        </w:numPr>
        <w:pStyle w:val="Compact"/>
      </w:pPr>
      <w:r>
        <w:t xml:space="preserve">More dark surfaces that retain heat</w:t>
      </w:r>
    </w:p>
    <w:p>
      <w:pPr>
        <w:numPr>
          <w:ilvl w:val="0"/>
          <w:numId w:val="1017"/>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95"/>
    <w:bookmarkStart w:id="96" w:name="cost"/>
    <w:p>
      <w:pPr>
        <w:pStyle w:val="Heading4"/>
      </w:pPr>
      <w:r>
        <w:t xml:space="preserve">11.1.1.2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96"/>
    <w:bookmarkStart w:id="99" w:name="plans"/>
    <w:p>
      <w:pPr>
        <w:pStyle w:val="Heading4"/>
      </w:pPr>
      <w:r>
        <w:t xml:space="preserve">11.1.1.3 Plans</w:t>
      </w:r>
    </w:p>
    <w:bookmarkStart w:id="97" w:name="global"/>
    <w:p>
      <w:pPr>
        <w:pStyle w:val="Heading5"/>
      </w:pPr>
      <w:r>
        <w:t xml:space="preserve">11.1.1.3.1 Global</w:t>
      </w:r>
    </w:p>
    <w:bookmarkEnd w:id="97"/>
    <w:bookmarkStart w:id="98" w:name="local"/>
    <w:p>
      <w:pPr>
        <w:pStyle w:val="Heading5"/>
      </w:pPr>
      <w:r>
        <w:t xml:space="preserve">11.1.1.3.2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98"/>
    <w:bookmarkEnd w:id="99"/>
    <w:bookmarkEnd w:id="100"/>
    <w:bookmarkEnd w:id="101"/>
    <w:bookmarkStart w:id="105" w:name="application-2"/>
    <w:p>
      <w:pPr>
        <w:pStyle w:val="Heading2"/>
      </w:pPr>
      <w:r>
        <w:t xml:space="preserve">11.2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02" w:name="policy-limitations"/>
    <w:p>
      <w:pPr>
        <w:pStyle w:val="Heading3"/>
      </w:pPr>
      <w:r>
        <w:t xml:space="preserve">11.2.1 Policy limitations</w:t>
      </w:r>
    </w:p>
    <w:p>
      <w:pPr>
        <w:numPr>
          <w:ilvl w:val="0"/>
          <w:numId w:val="1018"/>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18"/>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18"/>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02"/>
    <w:bookmarkStart w:id="103" w:name="data-to-drive-the-new-approach"/>
    <w:p>
      <w:pPr>
        <w:pStyle w:val="Heading3"/>
      </w:pPr>
      <w:r>
        <w:t xml:space="preserve">11.2.2 Data to drive the new approach</w:t>
      </w:r>
    </w:p>
    <w:p>
      <w:pPr>
        <w:numPr>
          <w:ilvl w:val="0"/>
          <w:numId w:val="1019"/>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19"/>
        </w:numPr>
        <w:pStyle w:val="Compact"/>
      </w:pPr>
      <w:r>
        <w:t xml:space="preserve">temperature</w:t>
      </w:r>
    </w:p>
    <w:p>
      <w:pPr>
        <w:numPr>
          <w:ilvl w:val="0"/>
          <w:numId w:val="1019"/>
        </w:numPr>
        <w:pStyle w:val="Compact"/>
      </w:pPr>
      <w:r>
        <w:t xml:space="preserve">elevation</w:t>
      </w:r>
    </w:p>
    <w:bookmarkEnd w:id="103"/>
    <w:bookmarkStart w:id="104" w:name="advantages-for-the-data-driven-approach"/>
    <w:p>
      <w:pPr>
        <w:pStyle w:val="Heading3"/>
      </w:pPr>
      <w:r>
        <w:t xml:space="preserve">11.2.3 Advantages for the Data-driven approach</w:t>
      </w:r>
    </w:p>
    <w:p>
      <w:pPr>
        <w:numPr>
          <w:ilvl w:val="0"/>
          <w:numId w:val="1020"/>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20"/>
        </w:numPr>
        <w:pStyle w:val="Compact"/>
      </w:pPr>
      <w:r>
        <w:rPr>
          <w:bCs/>
          <w:b/>
        </w:rPr>
        <w:t xml:space="preserve">monitor</w:t>
      </w:r>
      <w:r>
        <w:t xml:space="preserve"> </w:t>
      </w:r>
      <w:r>
        <w:t xml:space="preserve">UHI effects based on associated land-temperature dynamics</w:t>
      </w:r>
    </w:p>
    <w:p>
      <w:pPr>
        <w:numPr>
          <w:ilvl w:val="0"/>
          <w:numId w:val="1020"/>
        </w:numPr>
        <w:pStyle w:val="Compact"/>
      </w:pPr>
      <w:r>
        <w:t xml:space="preserve">Assessment at finer spatial scales (e.g., block subdivisions)</w:t>
      </w:r>
    </w:p>
    <w:bookmarkEnd w:id="104"/>
    <w:bookmarkEnd w:id="105"/>
    <w:bookmarkStart w:id="108" w:name="methodology"/>
    <w:p>
      <w:pPr>
        <w:pStyle w:val="Heading2"/>
      </w:pPr>
      <w:r>
        <w:t xml:space="preserve">11.3 Methodology</w:t>
      </w:r>
    </w:p>
    <w:p>
      <w:r>
        <w:pict>
          <v:rect style="width:0;height:1.5pt" o:hralign="center" o:hrstd="t" o:hr="t"/>
        </w:pict>
      </w:r>
    </w:p>
    <w:bookmarkStart w:id="106" w:name="temperature-modeling"/>
    <w:p>
      <w:pPr>
        <w:pStyle w:val="Heading3"/>
      </w:pPr>
      <w:r>
        <w:t xml:space="preserve">11.3.1 Temperature Modeling</w:t>
      </w:r>
    </w:p>
    <w:p>
      <w:r>
        <w:pict>
          <v:rect style="width:0;height:1.5pt" o:hralign="center" o:hrstd="t" o:hr="t"/>
        </w:pict>
      </w:r>
    </w:p>
    <w:p>
      <w:pPr>
        <w:numPr>
          <w:ilvl w:val="0"/>
          <w:numId w:val="1021"/>
        </w:numPr>
        <w:pStyle w:val="Compact"/>
      </w:pPr>
      <w:r>
        <w:t xml:space="preserve">Modeled temperature every 3 hours using SOLWEIG model between 2008 and 2010</w:t>
      </w:r>
    </w:p>
    <w:p>
      <w:r>
        <w:pict>
          <v:rect style="width:0;height:1.5pt" o:hralign="center" o:hrstd="t" o:hr="t"/>
        </w:pict>
      </w:r>
    </w:p>
    <w:p>
      <w:pPr>
        <w:numPr>
          <w:ilvl w:val="0"/>
          <w:numId w:val="1022"/>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23"/>
        </w:numPr>
        <w:pStyle w:val="Compact"/>
      </w:pPr>
      <w:r>
        <w:t xml:space="preserve">SVF computed from vegetation canopy REM, building DSM, and ground DTM using UMEP plugin</w:t>
      </w:r>
    </w:p>
    <w:p>
      <w:r>
        <w:pict>
          <v:rect style="width:0;height:1.5pt" o:hralign="center" o:hrstd="t" o:hr="t"/>
        </w:pict>
      </w:r>
    </w:p>
    <w:p>
      <w:pPr>
        <w:numPr>
          <w:ilvl w:val="0"/>
          <w:numId w:val="1024"/>
        </w:numPr>
        <w:pStyle w:val="Compact"/>
      </w:pPr>
      <w:r>
        <w:t xml:space="preserve">Building wall heights and aspect generated from DSM and DTM using UMEP plugin</w:t>
      </w:r>
    </w:p>
    <w:p>
      <w:r>
        <w:pict>
          <v:rect style="width:0;height:1.5pt" o:hralign="center" o:hrstd="t" o:hr="t"/>
        </w:pict>
      </w:r>
    </w:p>
    <w:bookmarkEnd w:id="106"/>
    <w:bookmarkStart w:id="107" w:name="data-driven-tree-placement"/>
    <w:p>
      <w:pPr>
        <w:pStyle w:val="Heading3"/>
      </w:pPr>
      <w:r>
        <w:t xml:space="preserve">11.3.2 Data-Driven Tree Placement</w:t>
      </w:r>
    </w:p>
    <w:p>
      <w:r>
        <w:pict>
          <v:rect style="width:0;height:1.5pt" o:hralign="center" o:hrstd="t" o:hr="t"/>
        </w:pict>
      </w:r>
    </w:p>
    <w:p>
      <w:pPr>
        <w:numPr>
          <w:ilvl w:val="0"/>
          <w:numId w:val="1025"/>
        </w:numPr>
        <w:pStyle w:val="Compact"/>
      </w:pPr>
      <w:r>
        <w:t xml:space="preserve">Site selected for modeling temperature in the City of Fremantle</w:t>
      </w:r>
    </w:p>
    <w:p>
      <w:r>
        <w:pict>
          <v:rect style="width:0;height:1.5pt" o:hralign="center" o:hrstd="t" o:hr="t"/>
        </w:pict>
      </w:r>
    </w:p>
    <w:p>
      <w:pPr>
        <w:numPr>
          <w:ilvl w:val="0"/>
          <w:numId w:val="1026"/>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27"/>
        </w:numPr>
        <w:pStyle w:val="Compact"/>
      </w:pPr>
      <w:r>
        <w:t xml:space="preserve">Highest temperatures identified and used to redesign tree placement</w:t>
      </w:r>
    </w:p>
    <w:p>
      <w:r>
        <w:pict>
          <v:rect style="width:0;height:1.5pt" o:hralign="center" o:hrstd="t" o:hr="t"/>
        </w:pict>
      </w:r>
    </w:p>
    <w:p>
      <w:pPr>
        <w:numPr>
          <w:ilvl w:val="0"/>
          <w:numId w:val="1028"/>
        </w:numPr>
        <w:pStyle w:val="Compact"/>
      </w:pPr>
      <w:r>
        <w:t xml:space="preserve">15 trees distributed according to original design aspects</w:t>
      </w:r>
    </w:p>
    <w:p>
      <w:r>
        <w:pict>
          <v:rect style="width:0;height:1.5pt" o:hralign="center" o:hrstd="t" o:hr="t"/>
        </w:pict>
      </w:r>
    </w:p>
    <w:p>
      <w:pPr>
        <w:numPr>
          <w:ilvl w:val="0"/>
          <w:numId w:val="1029"/>
        </w:numPr>
        <w:pStyle w:val="Compact"/>
      </w:pPr>
      <w:r>
        <w:t xml:space="preserve">Updated vegetation canopy REM reflected new tree locations</w:t>
      </w:r>
    </w:p>
    <w:p>
      <w:r>
        <w:pict>
          <v:rect style="width:0;height:1.5pt" o:hralign="center" o:hrstd="t" o:hr="t"/>
        </w:pict>
      </w:r>
    </w:p>
    <w:p>
      <w:pPr>
        <w:numPr>
          <w:ilvl w:val="0"/>
          <w:numId w:val="1030"/>
        </w:numPr>
        <w:pStyle w:val="Compact"/>
      </w:pPr>
      <w:r>
        <w:t xml:space="preserve">Analysis re-run to compare temperature across redevelopment site</w:t>
      </w:r>
    </w:p>
    <w:p>
      <w:r>
        <w:pict>
          <v:rect style="width:0;height:1.5pt" o:hralign="center" o:hrstd="t" o:hr="t"/>
        </w:pict>
      </w:r>
    </w:p>
    <w:p>
      <w:pPr>
        <w:numPr>
          <w:ilvl w:val="0"/>
          <w:numId w:val="1031"/>
        </w:numPr>
        <w:pStyle w:val="Compact"/>
      </w:pPr>
      <w:r>
        <w:t xml:space="preserve">Modeled all scenarios accounting for influence of neighboring landscape features</w:t>
      </w:r>
    </w:p>
    <w:p>
      <w:r>
        <w:pict>
          <v:rect style="width:0;height:1.5pt" o:hralign="center" o:hrstd="t" o:hr="t"/>
        </w:pict>
      </w:r>
    </w:p>
    <w:bookmarkEnd w:id="107"/>
    <w:bookmarkEnd w:id="108"/>
    <w:bookmarkStart w:id="109" w:name="result"/>
    <w:p>
      <w:pPr>
        <w:pStyle w:val="Heading2"/>
      </w:pPr>
      <w:r>
        <w:t xml:space="preserve">11.4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09"/>
    <w:bookmarkStart w:id="110" w:name="reflection-4"/>
    <w:p>
      <w:pPr>
        <w:pStyle w:val="Heading2"/>
      </w:pPr>
      <w:r>
        <w:t xml:space="preserve">11.5 Reflection</w:t>
      </w:r>
    </w:p>
    <w:p>
      <w:pPr>
        <w:numPr>
          <w:ilvl w:val="0"/>
          <w:numId w:val="1032"/>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10"/>
    <w:bookmarkEnd w:id="111"/>
    <w:bookmarkStart w:id="112" w:name="summary-6"/>
    <w:p>
      <w:pPr>
        <w:pStyle w:val="Heading1"/>
      </w:pPr>
      <w:r>
        <w:t xml:space="preserve">12.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12"/>
    <w:bookmarkStart w:id="130" w:name="references"/>
    <w:p>
      <w:pPr>
        <w:pStyle w:val="Heading1"/>
      </w:pPr>
      <w:r>
        <w:t xml:space="preserve">References</w:t>
      </w:r>
    </w:p>
    <w:bookmarkStart w:id="129" w:name="refs"/>
    <w:bookmarkStart w:id="114"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13">
        <w:r>
          <w:rPr>
            <w:rStyle w:val="Hyperlink"/>
          </w:rPr>
          <w:t xml:space="preserve">https://developers.google.com/earth-engine/guides/machine-learning</w:t>
        </w:r>
      </w:hyperlink>
      <w:r>
        <w:t xml:space="preserve">.</w:t>
      </w:r>
    </w:p>
    <w:bookmarkEnd w:id="114"/>
    <w:bookmarkStart w:id="116"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15">
        <w:r>
          <w:rPr>
            <w:rStyle w:val="Hyperlink"/>
          </w:rPr>
          <w:t xml:space="preserve">https://developers.google.com/earth-engine/guides/reducers_intro</w:t>
        </w:r>
      </w:hyperlink>
      <w:r>
        <w:t xml:space="preserve">.</w:t>
      </w:r>
    </w:p>
    <w:bookmarkEnd w:id="116"/>
    <w:bookmarkStart w:id="118"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17">
        <w:r>
          <w:rPr>
            <w:rStyle w:val="Hyperlink"/>
          </w:rPr>
          <w:t xml:space="preserve">https://doi.org/10.1016/j.rse.2017.06.031</w:t>
        </w:r>
      </w:hyperlink>
      <w:r>
        <w:t xml:space="preserve">.</w:t>
      </w:r>
    </w:p>
    <w:bookmarkEnd w:id="118"/>
    <w:bookmarkStart w:id="119"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19"/>
    <w:bookmarkStart w:id="121"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20">
        <w:r>
          <w:rPr>
            <w:rStyle w:val="Hyperlink"/>
          </w:rPr>
          <w:t xml:space="preserve">https://www.frontiersin.org/articles/10.3389/fbuil.2020.519599</w:t>
        </w:r>
      </w:hyperlink>
      <w:r>
        <w:t xml:space="preserve">.</w:t>
      </w:r>
    </w:p>
    <w:bookmarkEnd w:id="121"/>
    <w:bookmarkStart w:id="122"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22"/>
    <w:bookmarkStart w:id="124" w:name="ref-robison2018future"/>
    <w:p>
      <w:pPr>
        <w:pStyle w:val="Bibliography"/>
      </w:pPr>
      <w:r>
        <w:t xml:space="preserve">Robison, Keela. 2018.</w:t>
      </w:r>
      <w:r>
        <w:t xml:space="preserve"> </w:t>
      </w:r>
      <w:r>
        <w:t xml:space="preserve">“The Future of Image Annotation: Human in the Loop.”</w:t>
      </w:r>
      <w:r>
        <w:t xml:space="preserve"> </w:t>
      </w:r>
      <w:hyperlink r:id="rId123">
        <w:r>
          <w:rPr>
            <w:rStyle w:val="Hyperlink"/>
          </w:rPr>
          <w:t xml:space="preserve">https://lionbridge.ai/articles/the-future-of-image-annotation-human-in-the-loop/</w:t>
        </w:r>
      </w:hyperlink>
      <w:r>
        <w:t xml:space="preserve">.</w:t>
      </w:r>
    </w:p>
    <w:bookmarkEnd w:id="124"/>
    <w:bookmarkStart w:id="126"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25">
        <w:r>
          <w:rPr>
            <w:rStyle w:val="Hyperlink"/>
          </w:rPr>
          <w:t xml:space="preserve">https://doi.org/10.1016/j.rsase.2023.100941</w:t>
        </w:r>
      </w:hyperlink>
      <w:r>
        <w:t xml:space="preserve">.</w:t>
      </w:r>
    </w:p>
    <w:bookmarkEnd w:id="126"/>
    <w:bookmarkStart w:id="128"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27">
        <w:r>
          <w:rPr>
            <w:rStyle w:val="Hyperlink"/>
          </w:rPr>
          <w:t xml:space="preserve">https://doi.org/10.1111/2041-210X.12942</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53" Target="media/rId53.png" /><Relationship Type="http://schemas.openxmlformats.org/officeDocument/2006/relationships/image" Id="rId73" Target="media/rId73.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hyperlink" Id="rId113" Target="https://developers.google.com/earth-engine/guides/machine-learning" TargetMode="External" /><Relationship Type="http://schemas.openxmlformats.org/officeDocument/2006/relationships/hyperlink" Id="rId115" Target="https://developers.google.com/earth-engine/guides/reducers_intro" TargetMode="External" /><Relationship Type="http://schemas.openxmlformats.org/officeDocument/2006/relationships/hyperlink" Id="rId125" Target="https://doi.org/10.1016/j.rsase.2023.100941" TargetMode="External" /><Relationship Type="http://schemas.openxmlformats.org/officeDocument/2006/relationships/hyperlink" Id="rId117" Target="https://doi.org/10.1016/j.rse.2017.06.031" TargetMode="External" /><Relationship Type="http://schemas.openxmlformats.org/officeDocument/2006/relationships/hyperlink" Id="rId127" Target="https://doi.org/10.1111/2041-210X.12942" TargetMode="External" /><Relationship Type="http://schemas.openxmlformats.org/officeDocument/2006/relationships/hyperlink" Id="rId123" Target="https://lionbridge.ai/articles/the-future-of-image-annotation-human-in-the-loop/" TargetMode="External" /><Relationship Type="http://schemas.openxmlformats.org/officeDocument/2006/relationships/hyperlink" Id="rId21" Target="https://quarto.org/docs/books" TargetMode="External" /><Relationship Type="http://schemas.openxmlformats.org/officeDocument/2006/relationships/hyperlink" Id="rId120" Target="https://www.frontiersin.org/articles/10.3389/fbuil.2020.519599" TargetMode="External" /></Relationships>
</file>

<file path=word/_rels/footnotes.xml.rels><?xml version="1.0" encoding="UTF-8"?><Relationships xmlns="http://schemas.openxmlformats.org/package/2006/relationships"><Relationship Type="http://schemas.openxmlformats.org/officeDocument/2006/relationships/hyperlink" Id="rId113" Target="https://developers.google.com/earth-engine/guides/machine-learning" TargetMode="External" /><Relationship Type="http://schemas.openxmlformats.org/officeDocument/2006/relationships/hyperlink" Id="rId115" Target="https://developers.google.com/earth-engine/guides/reducers_intro" TargetMode="External" /><Relationship Type="http://schemas.openxmlformats.org/officeDocument/2006/relationships/hyperlink" Id="rId125" Target="https://doi.org/10.1016/j.rsase.2023.100941" TargetMode="External" /><Relationship Type="http://schemas.openxmlformats.org/officeDocument/2006/relationships/hyperlink" Id="rId117" Target="https://doi.org/10.1016/j.rse.2017.06.031" TargetMode="External" /><Relationship Type="http://schemas.openxmlformats.org/officeDocument/2006/relationships/hyperlink" Id="rId127" Target="https://doi.org/10.1111/2041-210X.12942" TargetMode="External" /><Relationship Type="http://schemas.openxmlformats.org/officeDocument/2006/relationships/hyperlink" Id="rId123" Target="https://lionbridge.ai/articles/the-future-of-image-annotation-human-in-the-loop/" TargetMode="External" /><Relationship Type="http://schemas.openxmlformats.org/officeDocument/2006/relationships/hyperlink" Id="rId21" Target="https://quarto.org/docs/books" TargetMode="External" /><Relationship Type="http://schemas.openxmlformats.org/officeDocument/2006/relationships/hyperlink" Id="rId120" Target="https://www.frontiersin.org/articles/10.3389/fbuil.2020.5195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dc:title>
  <dc:creator>T X</dc:creator>
  <cp:keywords/>
  <dcterms:created xsi:type="dcterms:W3CDTF">2023-03-14T01:34:34Z</dcterms:created>
  <dcterms:modified xsi:type="dcterms:W3CDTF">2023-03-14T01:34:34Z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