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51.png" ContentType="image/png"/>
  <Override PartName="/word/media/rId71.png" ContentType="image/png"/>
  <Override PartName="/word/media/rId46.png" ContentType="image/png"/>
  <Override PartName="/word/media/rId42.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Learning</w:t>
      </w:r>
      <w:r>
        <w:t xml:space="preserve"> </w:t>
      </w:r>
      <w:r>
        <w:t xml:space="preserve">Diary</w:t>
      </w:r>
      <w:r>
        <w:t xml:space="preserve"> </w:t>
      </w:r>
      <w:r>
        <w:t xml:space="preserve">-</w:t>
      </w:r>
      <w:r>
        <w:t xml:space="preserve"> </w:t>
      </w:r>
      <w:r>
        <w:t xml:space="preserve">CASA0023</w:t>
      </w:r>
    </w:p>
    <w:p>
      <w:pPr>
        <w:pStyle w:val="Author"/>
      </w:pPr>
      <w:r>
        <w:t xml:space="preserve">Tongmeng</w:t>
      </w:r>
      <w:r>
        <w:t xml:space="preserve"> </w:t>
      </w:r>
      <w:r>
        <w:t xml:space="preserve">Xie</w:t>
      </w:r>
    </w:p>
    <w:p>
      <w:pPr>
        <w:pStyle w:val="Date"/>
      </w:pPr>
      <w:r>
        <w:t xml:space="preserve">2023/3/16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bookmarkEnd w:id="20"/>
    <w:bookmarkStart w:id="21" w:name="introduction"/>
    <w:p>
      <w:pPr>
        <w:pStyle w:val="Heading1"/>
      </w:pPr>
      <w:r>
        <w:t xml:space="preserve">Introduction</w:t>
      </w:r>
    </w:p>
    <w:p>
      <w:pPr>
        <w:pStyle w:val="FirstParagraph"/>
      </w:pPr>
      <w:r>
        <w:t xml:space="preserve">Welcome to my learning diary page of Remote Sensing Cities and Environment (CASA0023)! This diary is made for the content taught at 2022-2023.</w:t>
      </w:r>
    </w:p>
    <w:p>
      <w:pPr>
        <w:pStyle w:val="BodyText"/>
      </w:pPr>
      <w:r>
        <w:t xml:space="preserve">I’m a current Master of Science student at Bartlett Centre for Advanced Spatial Analysis</w:t>
      </w:r>
    </w:p>
    <w:bookmarkEnd w:id="21"/>
    <w:bookmarkStart w:id="32" w:name="week-1"/>
    <w:p>
      <w:pPr>
        <w:pStyle w:val="Heading1"/>
      </w:pPr>
      <w:r>
        <w:t xml:space="preserve">1. Week 1</w:t>
      </w:r>
    </w:p>
    <w:bookmarkStart w:id="29" w:name="summary"/>
    <w:p>
      <w:pPr>
        <w:pStyle w:val="Heading2"/>
      </w:pPr>
      <w:r>
        <w:t xml:space="preserve">1.1 Summary</w:t>
      </w:r>
    </w:p>
    <w:p>
      <w:pPr>
        <w:pStyle w:val="FirstParagraph"/>
      </w:pPr>
      <w:r>
        <w:t xml:space="preserve">This section summarises the lecture content and a graph of feature space derived from practical in SNAP operations.</w:t>
      </w:r>
    </w:p>
    <w:p>
      <w:pPr>
        <w:pStyle w:val="BodyText"/>
      </w:pPr>
      <w:r>
        <w:t xml:space="preserve">Passive data: Energy usually in eletcromagnetic form e.g., human eyes</w:t>
      </w:r>
    </w:p>
    <w:p>
      <w:pPr>
        <w:pStyle w:val="BodyText"/>
      </w:pPr>
      <w:r>
        <w:t xml:space="preserve">Active data: Energy in addition in illumination . e.g., radar.</w:t>
      </w:r>
    </w:p>
    <w:p>
      <w:pPr>
        <w:pStyle w:val="BodyText"/>
      </w:pPr>
      <w:r>
        <w:t xml:space="preserve">How EM waves interact with Earth’s surface and atmosphere: Reflection, scattering, absorption</w:t>
      </w:r>
    </w:p>
    <w:p>
      <w:pPr>
        <w:pStyle w:val="BodyText"/>
      </w:pPr>
      <w:r>
        <w:t xml:space="preserve">single</w:t>
      </w:r>
    </w:p>
    <w:p>
      <w:pPr>
        <w:pStyle w:val="BodyText"/>
      </w:pPr>
      <w:r>
        <w:t xml:space="preserve">dual</w:t>
      </w:r>
    </w:p>
    <w:p>
      <w:pPr>
        <w:pStyle w:val="BodyText"/>
      </w:pPr>
      <w:r>
        <w:t xml:space="preserve">quad</w:t>
      </w:r>
    </w:p>
    <w:bookmarkStart w:id="22" w:name="remotely-sensed-data-usually-comes-in"/>
    <w:p>
      <w:pPr>
        <w:pStyle w:val="Heading3"/>
      </w:pPr>
      <w:r>
        <w:t xml:space="preserve">1.1.1 remotely-sensed data usually comes in</w:t>
      </w:r>
    </w:p>
    <w:p>
      <w:pPr>
        <w:pStyle w:val="FirstParagraph"/>
      </w:pPr>
      <w:r>
        <w:t xml:space="preserve">Raster: file</w:t>
      </w:r>
    </w:p>
    <w:p>
      <w:pPr>
        <w:pStyle w:val="BodyText"/>
      </w:pPr>
      <w:r>
        <w:t xml:space="preserve">types: BIL, BSQM BIP, GeoTIFF</w:t>
      </w:r>
    </w:p>
    <w:bookmarkEnd w:id="22"/>
    <w:bookmarkStart w:id="23" w:name="four-resolutions"/>
    <w:p>
      <w:pPr>
        <w:pStyle w:val="Heading3"/>
      </w:pPr>
      <w:r>
        <w:t xml:space="preserve">1.1.2 Four resolutions:</w:t>
      </w:r>
    </w:p>
    <w:p>
      <w:pPr>
        <w:pStyle w:val="FirstParagraph"/>
      </w:pPr>
      <w:r>
        <w:t xml:space="preserve">Spatial: ranging from 10 cm to several kilos</w:t>
      </w:r>
    </w:p>
    <w:p>
      <w:pPr>
        <w:pStyle w:val="BodyText"/>
      </w:pPr>
      <w:r>
        <w:t xml:space="preserve">Spectral: How many different spectral bands are there? (Every feature on earth has a unique spectral signature)</w:t>
      </w:r>
    </w:p>
    <w:p>
      <w:pPr>
        <w:pStyle w:val="BodyText"/>
      </w:pPr>
      <w:r>
        <w:t xml:space="preserve">(Atmospheric windows: )</w:t>
      </w:r>
    </w:p>
    <w:p>
      <w:pPr>
        <w:pStyle w:val="BodyText"/>
      </w:pPr>
      <w:r>
        <w:t xml:space="preserve">(Vegetation: red edge -- infra bands. APP: look at the infra band s of city to identify who has access to vegetation)</w:t>
      </w:r>
    </w:p>
    <w:p>
      <w:pPr>
        <w:pStyle w:val="BodyText"/>
      </w:pPr>
      <w:r>
        <w:t xml:space="preserve">Radiometric resolution: resolution of cell’s value</w:t>
      </w:r>
    </w:p>
    <w:p>
      <w:pPr>
        <w:pStyle w:val="BodyText"/>
      </w:pPr>
      <w:r>
        <w:t xml:space="preserve">Temporal resolution: ussualy inversly relate3 to pixel size (spatial)</w:t>
      </w:r>
    </w:p>
    <w:p>
      <w:pPr>
        <w:pStyle w:val="BodyText"/>
      </w:pPr>
      <w:r>
        <w:t xml:space="preserve">MODIS</w:t>
      </w:r>
    </w:p>
    <w:bookmarkEnd w:id="23"/>
    <w:bookmarkStart w:id="28" w:name="practical"/>
    <w:p>
      <w:pPr>
        <w:pStyle w:val="Heading3"/>
      </w:pPr>
      <w:r>
        <w:t xml:space="preserve">1.1.3 Practical</w:t>
      </w:r>
    </w:p>
    <w:tbl>
      <w:tblPr>
        <w:tblStyle w:val="Table"/>
        <w:tblW w:type="pct" w:w="5000"/>
        <w:tblLook w:firstRow="0" w:lastRow="0" w:firstColumn="0" w:lastColumn="0" w:noHBand="0" w:noVBand="0" w:val="0000"/>
      </w:tblPr>
      <w:tblGrid>
        <w:gridCol w:w="7920"/>
      </w:tblGrid>
      <w:tr>
        <w:tc>
          <w:tcPr/>
          <w:bookmarkStart w:id="27" w:name="fig-vege"/>
          <w:p>
            <w:pPr>
              <w:pStyle w:val="Figure"/>
              <w:jc w:val="center"/>
            </w:pPr>
            <w:r>
              <w:drawing>
                <wp:inline>
                  <wp:extent cx="5334000" cy="2507334"/>
                  <wp:effectExtent b="0" l="0" r="0" t="0"/>
                  <wp:docPr descr="" title="" id="25" name="Picture"/>
                  <a:graphic>
                    <a:graphicData uri="http://schemas.openxmlformats.org/drawingml/2006/picture">
                      <pic:pic>
                        <pic:nvPicPr>
                          <pic:cNvPr descr="./images/spectral_feature_space_vege_B04_B08.png" id="26" name="Picture"/>
                          <pic:cNvPicPr>
                            <a:picLocks noChangeArrowheads="1" noChangeAspect="1"/>
                          </pic:cNvPicPr>
                        </pic:nvPicPr>
                        <pic:blipFill>
                          <a:blip r:embed="rId24"/>
                          <a:stretch>
                            <a:fillRect/>
                          </a:stretch>
                        </pic:blipFill>
                        <pic:spPr bwMode="auto">
                          <a:xfrm>
                            <a:off x="0" y="0"/>
                            <a:ext cx="5334000" cy="25073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Spectral Feature Space, Vegetation On Bands B04 and B08</w:t>
            </w:r>
          </w:p>
          <w:bookmarkEnd w:id="27"/>
        </w:tc>
      </w:tr>
    </w:tbl>
    <w:bookmarkEnd w:id="28"/>
    <w:bookmarkEnd w:id="29"/>
    <w:bookmarkStart w:id="30" w:name="application"/>
    <w:p>
      <w:pPr>
        <w:pStyle w:val="Heading2"/>
      </w:pPr>
      <w:r>
        <w:t xml:space="preserve">1.2 Application:</w:t>
      </w:r>
    </w:p>
    <w:p>
      <w:pPr>
        <w:pStyle w:val="FirstParagraph"/>
      </w:pPr>
      <w:r>
        <w:t xml:space="preserve">“</w:t>
      </w:r>
      <w:r>
        <w:t xml:space="preserve">Spectral Feature Space, Vegetation On Bands B04 and B08</w:t>
      </w:r>
      <w:r>
        <w:t xml:space="preserve">”</w:t>
      </w:r>
    </w:p>
    <w:p>
      <w:pPr>
        <w:pStyle w:val="BodyText"/>
      </w:pPr>
      <w:r>
        <w:t xml:space="preserve">One of the applications really attracted me was the spatial signature of vegetation on the terra, as we could assign features to each end of the spatial signature area see</w:t>
      </w:r>
      <w:r>
        <w:t xml:space="preserve"> </w:t>
      </w:r>
      <w:hyperlink w:anchor="fig-vege">
        <w:r>
          <w:rPr>
            <w:rStyle w:val="Hyperlink"/>
          </w:rPr>
          <w:t xml:space="preserve">Figure 1.1</w:t>
        </w:r>
      </w:hyperlink>
      <w:r>
        <w:t xml:space="preserve">, such as bare land on the right end of the triangle-like area where red light captured are dense while near-infrared level is low. Heavy vegetation are witnessed at the upper end of the triangle-like area where red light low and near-infrared is high, indicating heavy biomass. As for the left-down corner where both red and near-infrared are low, we can identify wet lands. This is integrated in the NDVI (Normalized Difference Vegetation Index) to estimate vegetation cover.</w:t>
      </w:r>
    </w:p>
    <w:p>
      <w:pPr>
        <w:pStyle w:val="BodyText"/>
      </w:pPr>
      <w:r>
        <w:t xml:space="preserve">Spatial signatures can also be used to monitor the health of vegetation by identifying patterns of quavariation in spectral reflectance that are indicative of stress or disease. For example, vegetation that is stressed or diseased may have a different spectral reflectance signature than healthy vegetation, which can be identified using spatial signatures.</w:t>
      </w:r>
    </w:p>
    <w:p>
      <w:pPr>
        <w:pStyle w:val="BodyText"/>
      </w:pPr>
      <w:r>
        <w:t xml:space="preserve">In addition, spatial signatures can be used to monitor the growth and distribution of vegetation over time by comparing satellite imagery from different dates. This can be useful for understanding the impacts of land use changes, climate change, and other factors on vegetation.</w:t>
      </w:r>
    </w:p>
    <w:p>
      <w:pPr>
        <w:pStyle w:val="BodyText"/>
      </w:pPr>
      <w:r>
        <w:t xml:space="preserve">Overall, spatial signatures are a powerful tool for vegetation monitoring, as they can be used to identify and classify different types of vegetation, monitor vegetation health, and track vegetation changes over time.</w:t>
      </w:r>
    </w:p>
    <w:bookmarkEnd w:id="30"/>
    <w:bookmarkStart w:id="31" w:name="reflection"/>
    <w:p>
      <w:pPr>
        <w:pStyle w:val="Heading2"/>
      </w:pPr>
      <w:r>
        <w:t xml:space="preserve">1.3 Reflection</w:t>
      </w:r>
    </w:p>
    <w:p>
      <w:pPr>
        <w:pStyle w:val="FirstParagraph"/>
      </w:pPr>
      <w:r>
        <w:t xml:space="preserve">just state what interest you and why, as well as the application. Application: Context matters. Why useful? What had it assisted achieving. Mind map of concepts, to show understanding of data and workflow</w:t>
      </w:r>
    </w:p>
    <w:p>
      <w:pPr>
        <w:pStyle w:val="BodyText"/>
      </w:pPr>
      <w:r>
        <w:t xml:space="preserve">One of the challenges I encountered is to navigate the complexities of the interface of SNAP and QGIS. It becomes clear to me that yes implementing several functions in code can be challenging, but a software with collective functions as a whole can be mindblowing even when with decent GUIs. Specifically, finding which function falling under which menu consumes a lot of time, and figuring out filling parameters to carry the analysis also took some efforts of iterative validation.</w:t>
      </w:r>
    </w:p>
    <w:p>
      <w:pPr>
        <w:pStyle w:val="BodyText"/>
      </w:pPr>
      <w:r>
        <w:t xml:space="preserve">When doing the operation in R on a script level, it becomes confusing where I put the data</w:t>
      </w:r>
    </w:p>
    <w:bookmarkEnd w:id="31"/>
    <w:bookmarkEnd w:id="32"/>
    <w:bookmarkStart w:id="33" w:name="week-2---portfolio"/>
    <w:p>
      <w:pPr>
        <w:pStyle w:val="Heading1"/>
      </w:pPr>
      <w:r>
        <w:t xml:space="preserve">2. 2. Week 2 - Portfolio</w:t>
      </w:r>
    </w:p>
    <w:bookmarkEnd w:id="33"/>
    <w:bookmarkStart w:id="58" w:name="week-3---remote-sensing-data"/>
    <w:p>
      <w:pPr>
        <w:pStyle w:val="Heading1"/>
      </w:pPr>
      <w:r>
        <w:t xml:space="preserve">3. Week 3 - Remote sensing data</w:t>
      </w:r>
    </w:p>
    <w:p>
      <w:pPr>
        <w:pStyle w:val="FirstParagraph"/>
      </w:pPr>
      <w:r>
        <w:t xml:space="preserve">In this week’s learning diary, we try to handle</w:t>
      </w:r>
    </w:p>
    <w:bookmarkStart w:id="41" w:name="summary-1"/>
    <w:p>
      <w:pPr>
        <w:pStyle w:val="Heading2"/>
      </w:pPr>
      <w:r>
        <w:t xml:space="preserve">3.1 Summary:</w:t>
      </w:r>
    </w:p>
    <w:bookmarkStart w:id="34" w:name="different-sensors"/>
    <w:p>
      <w:pPr>
        <w:pStyle w:val="Heading3"/>
      </w:pPr>
      <w:r>
        <w:t xml:space="preserve">3.1.1 Different Sensors</w:t>
      </w:r>
    </w:p>
    <w:p>
      <w:pPr>
        <w:pStyle w:val="FirstParagraph"/>
      </w:pPr>
      <w:r>
        <w:t xml:space="preserve">Across track scanners: Mirror reflects light onto 1 detector. For example,</w:t>
      </w:r>
      <w:r>
        <w:t xml:space="preserve"> </w:t>
      </w:r>
      <w:r>
        <w:rPr>
          <w:u w:val="single"/>
        </w:rPr>
        <w:t xml:space="preserve">Landsat</w:t>
      </w:r>
      <w:r>
        <w:t xml:space="preserve"> </w:t>
      </w:r>
      <w:r>
        <w:t xml:space="preserve">dataset are captured by this sort</w:t>
      </w:r>
    </w:p>
    <w:p>
      <w:pPr>
        <w:pStyle w:val="BodyText"/>
      </w:pPr>
      <w:r>
        <w:t xml:space="preserve">Along track scanners: Basically several detectors pushed along. E.g., Quickbird, SPOT</w:t>
      </w:r>
    </w:p>
    <w:bookmarkEnd w:id="34"/>
    <w:bookmarkStart w:id="35" w:name="geometric-correction"/>
    <w:p>
      <w:pPr>
        <w:pStyle w:val="Heading3"/>
      </w:pPr>
      <w:r>
        <w:t xml:space="preserve">3.1.2 Geometric Correction</w:t>
      </w:r>
    </w:p>
    <w:p>
      <w:pPr>
        <w:pStyle w:val="FirstParagraph"/>
      </w:pPr>
      <w:r>
        <w:t xml:space="preserve">RS data could include image distortions introduced by: View angle, topography, wind and rotation of the earth</w:t>
      </w:r>
    </w:p>
    <w:p>
      <w:pPr>
        <w:pStyle w:val="BodyText"/>
      </w:pPr>
      <w:r>
        <w:t xml:space="preserve">We identify Ground Control Points (GCP) in distorted data to match them with local map, correct image, or GPS data from handheld device, but these reference images could also contain distortions and imprecisions.</w:t>
      </w:r>
    </w:p>
    <w:p>
      <w:pPr>
        <w:pStyle w:val="BodyText"/>
      </w:pPr>
      <w:r>
        <w:t xml:space="preserve">RMSE is adopted here to measure fitness between images. Use GCPs to minimise RMSE.</w:t>
      </w:r>
    </w:p>
    <w:p>
      <w:pPr>
        <w:pStyle w:val="BodyText"/>
      </w:pPr>
      <w:r>
        <w:t xml:space="preserve">Doing geometric correction can shift the original image, so we want to re-sample the final raster by using Nearest Neighbour, Linear, Cubic, Cubic spline re-samplers</w:t>
      </w:r>
    </w:p>
    <w:bookmarkEnd w:id="35"/>
    <w:bookmarkStart w:id="36" w:name="atmosphric-correction"/>
    <w:p>
      <w:pPr>
        <w:pStyle w:val="Heading3"/>
      </w:pPr>
      <w:r>
        <w:t xml:space="preserve">3.1.3 Atmosphric Correction</w:t>
      </w:r>
    </w:p>
    <w:p>
      <w:pPr>
        <w:pStyle w:val="FirstParagraph"/>
      </w:pPr>
      <w:r>
        <w:t xml:space="preserve">According to</w:t>
      </w:r>
      <w:r>
        <w:t xml:space="preserve"> </w:t>
      </w:r>
      <w:r>
        <w:t xml:space="preserve">Jensen (1986)</w:t>
      </w:r>
      <w:r>
        <w:t xml:space="preserve">, two factors contribute to environmental attenuation: Atmospheric scattering, topographic attenuation.</w:t>
      </w:r>
    </w:p>
    <w:p>
      <w:pPr>
        <w:pStyle w:val="BodyText"/>
      </w:pPr>
      <w:r>
        <w:t xml:space="preserve">There are unnecessary and necessary atmospheric corrections:</w:t>
      </w:r>
    </w:p>
    <w:p>
      <w:pPr>
        <w:pStyle w:val="BodyText"/>
      </w:pPr>
      <w:r>
        <w:t xml:space="preserve">necessary ones are:</w:t>
      </w:r>
    </w:p>
    <w:p>
      <w:pPr>
        <w:numPr>
          <w:ilvl w:val="0"/>
          <w:numId w:val="1001"/>
        </w:numPr>
      </w:pPr>
      <w:r>
        <w:t xml:space="preserve">Biophysical parameters needed (e.g. temperature, leaf area index, NDVI)</w:t>
      </w:r>
    </w:p>
    <w:p>
      <w:pPr>
        <w:numPr>
          <w:ilvl w:val="0"/>
          <w:numId w:val="1001"/>
        </w:numPr>
      </w:pPr>
      <w:r>
        <w:t xml:space="preserve">E.g. .. .NDVI is used in the Africa Famine Early Warning System and Livestock Early Warning System</w:t>
      </w:r>
    </w:p>
    <w:p>
      <w:pPr>
        <w:numPr>
          <w:ilvl w:val="0"/>
          <w:numId w:val="1001"/>
        </w:numPr>
      </w:pPr>
      <w:r>
        <w:t xml:space="preserve">Using spectral signatures through time and space</w:t>
      </w:r>
    </w:p>
    <w:p>
      <w:pPr>
        <w:pStyle w:val="FirstParagraph"/>
      </w:pPr>
      <w:r>
        <w:t xml:space="preserve">Absorption and scattering can create the haze, i.e. reduces contrast of image.</w:t>
      </w:r>
    </w:p>
    <w:p>
      <w:pPr>
        <w:pStyle w:val="BodyText"/>
      </w:pPr>
      <w:r>
        <w:t xml:space="preserve">Scattering can create the</w:t>
      </w:r>
      <w:r>
        <w:t xml:space="preserve"> </w:t>
      </w:r>
      <w:r>
        <w:t xml:space="preserve">“</w:t>
      </w:r>
      <w:r>
        <w:t xml:space="preserve">adjacency effect</w:t>
      </w:r>
      <w:r>
        <w:t xml:space="preserve">”</w:t>
      </w:r>
      <w:r>
        <w:t xml:space="preserve">, radiance from pixels nearby mixed into pixel of interest.</w:t>
      </w:r>
    </w:p>
    <w:bookmarkEnd w:id="36"/>
    <w:bookmarkStart w:id="37" w:name="orthorectification-correction"/>
    <w:p>
      <w:pPr>
        <w:pStyle w:val="Heading3"/>
      </w:pPr>
      <w:r>
        <w:t xml:space="preserve">3.1.4 Orthorectification Correction</w:t>
      </w:r>
    </w:p>
    <w:p>
      <w:pPr>
        <w:pStyle w:val="FirstParagraph"/>
      </w:pPr>
      <w:r>
        <w:t xml:space="preserve">This is a subset of georectification, i.e. giving coords to an image. Particularly Orthorectification means removing distortion so pixels can appear being viewed at</w:t>
      </w:r>
      <w:r>
        <w:t xml:space="preserve"> </w:t>
      </w:r>
      <w:r>
        <w:rPr>
          <w:u w:val="single"/>
        </w:rPr>
        <w:t xml:space="preserve">nadir</w:t>
      </w:r>
      <w:r>
        <w:t xml:space="preserve"> </w:t>
      </w:r>
      <w:r>
        <w:t xml:space="preserve">(straight down). This requires the support of an Elevation Model to calculate the nadir view for each pixel on a sensor geometry.</w:t>
      </w:r>
    </w:p>
    <w:p>
      <w:pPr>
        <w:pStyle w:val="BodyText"/>
      </w:pPr>
      <w:r>
        <w:t xml:space="preserve">To do this: cosine correction, Minnaert correction, Statistical Empirical correction, C Correction (advancing the Cosine). Need radiance (DN to TOA) from sloped terrain, Sun’s zenith angle, Sun’s incidence angle - cosine of the angle between the solar zenith and the normal line of the slope. Latter two found in angle coefficient files (e.g. Landsat data ANG.txt).</w:t>
      </w:r>
    </w:p>
    <w:bookmarkEnd w:id="37"/>
    <w:bookmarkStart w:id="38" w:name="rdiometric-correction"/>
    <w:p>
      <w:pPr>
        <w:pStyle w:val="Heading3"/>
      </w:pPr>
      <w:r>
        <w:t xml:space="preserve">3.1.5 Rdiometric Correction</w:t>
      </w:r>
    </w:p>
    <w:p>
      <w:pPr>
        <w:pStyle w:val="FirstParagraph"/>
      </w:pPr>
      <w:r>
        <w:t xml:space="preserve">Corrections to raw satellite imagery can be performed using a method called Dark Object Subtraction (DOS). The logic is that the darkest pixel in the image should be 0 and any value it has is due to the atmosphere. To remove the atmospheric effect, the value from the darkest pixel is subtracted from the rest of the pixels in the image. The calculation involves converting the Digital Number (DN) to radiance, computing the haze value for each band (but not beyond NIR), and subtracting the 1% reflectance value from the radiance. The calculation requires values such as mean exoatmospheric irradiance, solar azimuth, Earth-sun distance, and others, which can be found in sources such as Landsat user manuals.</w:t>
      </w:r>
    </w:p>
    <w:bookmarkEnd w:id="38"/>
    <w:bookmarkStart w:id="39" w:name="joining-data-sets"/>
    <w:p>
      <w:pPr>
        <w:pStyle w:val="Heading3"/>
      </w:pPr>
      <w:r>
        <w:t xml:space="preserve">3.1.6 Joining data sets</w:t>
      </w:r>
    </w:p>
    <w:p>
      <w:pPr>
        <w:pStyle w:val="FirstParagraph"/>
      </w:pPr>
      <w:r>
        <w:t xml:space="preserve">Also known as</w:t>
      </w:r>
      <w:r>
        <w:t xml:space="preserve"> </w:t>
      </w:r>
      <w:r>
        <w:rPr>
          <w:u w:val="single"/>
        </w:rPr>
        <w:t xml:space="preserve">Mosaicking</w:t>
      </w:r>
      <w:r>
        <w:t xml:space="preserve">: We feather two images, creating a</w:t>
      </w:r>
      <w:r>
        <w:t xml:space="preserve"> </w:t>
      </w:r>
      <w:r>
        <w:rPr>
          <w:u w:val="single"/>
        </w:rPr>
        <w:t xml:space="preserve">seamless</w:t>
      </w:r>
      <w:r>
        <w:t xml:space="preserve"> </w:t>
      </w:r>
      <w:r>
        <w:t xml:space="preserve">mosaic, where the diving lien is called</w:t>
      </w:r>
      <w:r>
        <w:t xml:space="preserve"> </w:t>
      </w:r>
      <w:r>
        <w:rPr>
          <w:u w:val="single"/>
        </w:rPr>
        <w:t xml:space="preserve">seamline</w:t>
      </w:r>
      <w:r>
        <w:t xml:space="preserve">.</w:t>
      </w:r>
    </w:p>
    <w:bookmarkEnd w:id="39"/>
    <w:bookmarkStart w:id="40" w:name="image-enhancements"/>
    <w:p>
      <w:pPr>
        <w:pStyle w:val="Heading3"/>
      </w:pPr>
      <w:r>
        <w:t xml:space="preserve">3.1.7 Image Enhancements</w:t>
      </w:r>
    </w:p>
    <w:p>
      <w:pPr>
        <w:pStyle w:val="FirstParagraph"/>
      </w:pPr>
      <w:r>
        <w:t xml:space="preserve">Image stretch, Band ratioing, Normalised Burn Ratio, Edge enhancement, Filtering, PCA, Image fusion (see application) etc.</w:t>
      </w:r>
    </w:p>
    <w:bookmarkEnd w:id="40"/>
    <w:bookmarkEnd w:id="41"/>
    <w:bookmarkStart w:id="56" w:name="Xcdbeae6e80f1fe79c579cc2b7c795bcf25a3f61"/>
    <w:p>
      <w:pPr>
        <w:pStyle w:val="Heading2"/>
      </w:pPr>
      <w:r>
        <w:t xml:space="preserve">3.2 Application - Discussing image fusion in one literature</w:t>
      </w:r>
    </w:p>
    <w:p>
      <w:pPr>
        <w:pStyle w:val="FirstParagraph"/>
      </w:pPr>
      <w:bookmarkStart w:id="45" w:name="fig-mindmap01"/>
      <w:r>
        <w:drawing>
          <wp:inline>
            <wp:extent cx="5334000" cy="4025089"/>
            <wp:effectExtent b="0" l="0" r="0" t="0"/>
            <wp:docPr descr="" title="" id="43" name="Picture"/>
            <a:graphic>
              <a:graphicData uri="http://schemas.openxmlformats.org/drawingml/2006/picture">
                <pic:pic>
                  <pic:nvPicPr>
                    <pic:cNvPr descr="./images/image-620878088.png" id="44" name="Picture"/>
                    <pic:cNvPicPr>
                      <a:picLocks noChangeArrowheads="1" noChangeAspect="1"/>
                    </pic:cNvPicPr>
                  </pic:nvPicPr>
                  <pic:blipFill>
                    <a:blip r:embed="rId42"/>
                    <a:stretch>
                      <a:fillRect/>
                    </a:stretch>
                  </pic:blipFill>
                  <pic:spPr bwMode="auto">
                    <a:xfrm>
                      <a:off x="0" y="0"/>
                      <a:ext cx="5334000" cy="4025089"/>
                    </a:xfrm>
                    <a:prstGeom prst="rect">
                      <a:avLst/>
                    </a:prstGeom>
                    <a:noFill/>
                    <a:ln w="9525">
                      <a:noFill/>
                      <a:headEnd/>
                      <a:tailEnd/>
                    </a:ln>
                  </pic:spPr>
                </pic:pic>
              </a:graphicData>
            </a:graphic>
          </wp:inline>
        </w:drawing>
      </w:r>
      <w:bookmarkEnd w:id="45"/>
    </w:p>
    <w:p>
      <w:pPr>
        <w:pStyle w:val="BodyText"/>
      </w:pPr>
      <w:r>
        <w:t xml:space="preserve">From literature we delve in the nuances of levels on which we perform image fusion to acquire better results. The integration methods vary as the levels vary</w:t>
      </w:r>
      <w:r>
        <w:t xml:space="preserve"> </w:t>
      </w:r>
      <w:r>
        <w:t xml:space="preserve">(Schulte to Bühne and Pettorelli 2018)</w:t>
      </w:r>
      <w:r>
        <w:t xml:space="preserve">.</w:t>
      </w:r>
    </w:p>
    <w:p>
      <w:pPr>
        <w:pStyle w:val="BodyText"/>
      </w:pPr>
      <w:r>
        <w:t xml:space="preserve">Satellite remote sensing (SRS) can be derived from Multispectral sensors and radar sensors. </w:t>
      </w:r>
    </w:p>
    <w:p>
      <w:pPr>
        <w:pStyle w:val="BodyText"/>
      </w:pPr>
      <w:r>
        <w:t xml:space="preserve"> Multispectral sensors are passive, merely receiving electromagnetic waves reflected from surface, usually used to reflect chemical properties (such as nitrogen or carbon content and moisture). Usually produces data with comparatively low spatial resolution</w:t>
      </w:r>
    </w:p>
    <w:p>
      <w:pPr>
        <w:pStyle w:val="BodyText"/>
      </w:pPr>
      <w:r>
        <w:t xml:space="preserve"> Radar ones emit electromagnetic radiation and measure the returning signal, responding to the three-dimensional structure of objects, being sensitive to their orientation, volume and surface roughness. Usually produces data with comparatively high spatial resolution</w:t>
      </w:r>
    </w:p>
    <w:bookmarkStart w:id="50" w:name="image-fusion"/>
    <w:p>
      <w:pPr>
        <w:pStyle w:val="Heading3"/>
      </w:pPr>
      <w:r>
        <w:t xml:space="preserve">3.2.1 Image fusion:</w:t>
      </w:r>
    </w:p>
    <w:p>
      <w:pPr>
        <w:pStyle w:val="FirstParagraph"/>
      </w:pPr>
      <w:r>
        <w:t xml:space="preserve">1. </w:t>
      </w:r>
      <w:r>
        <w:rPr>
          <w:bCs/>
          <w:b/>
        </w:rPr>
        <w:t xml:space="preserve">decision-level</w:t>
      </w:r>
      <w:r>
        <w:t xml:space="preserve"> (SRS integration), where separate predictors are used to estimate a parameter of interest. </w:t>
      </w:r>
    </w:p>
    <w:p>
      <w:pPr>
        <w:pStyle w:val="BodyText"/>
      </w:pPr>
      <w:r>
        <w:t xml:space="preserve">2. </w:t>
      </w:r>
      <w:r>
        <w:rPr>
          <w:bCs/>
          <w:b/>
        </w:rPr>
        <w:t xml:space="preserve">object-level (feature-level).</w:t>
      </w:r>
      <w:r>
        <w:t xml:space="preserve"> unit: multi-pixel objects. (1) using radar and multispectral imagery is input into an object-based image segmentation algorithm, or (2) segmenting each type of imagery separately before combining them. multi-pixel objects</w:t>
      </w:r>
    </w:p>
    <w:p>
      <w:pPr>
        <w:pStyle w:val="BodyText"/>
      </w:pPr>
      <w:r>
        <w:t xml:space="preserve">3. </w:t>
      </w:r>
      <w:r>
        <w:rPr>
          <w:bCs/>
          <w:b/>
        </w:rPr>
        <w:t xml:space="preserve">pixel-level (Observation-level)</w:t>
      </w:r>
      <w:r>
        <w:t xml:space="preserve">, where pixel values are combined to derive a fused image with new pixel values, either in the spatial or the temporal domain.</w:t>
      </w:r>
    </w:p>
    <w:p>
      <w:pPr>
        <w:pStyle w:val="BodyText"/>
      </w:pPr>
      <w:r>
        <w:t xml:space="preserve">(2. and 3. derive entirely new predictors.)</w:t>
      </w:r>
    </w:p>
    <w:tbl>
      <w:tblPr>
        <w:tblStyle w:val="Table"/>
        <w:tblW w:type="pct" w:w="5000"/>
        <w:tblLook w:firstRow="0" w:lastRow="0" w:firstColumn="0" w:lastColumn="0" w:noHBand="0" w:noVBand="0" w:val="0000"/>
      </w:tblPr>
      <w:tblGrid>
        <w:gridCol w:w="7920"/>
      </w:tblGrid>
      <w:tr>
        <w:tc>
          <w:tcPr/>
          <w:bookmarkStart w:id="49" w:name="fig-fusiontech"/>
          <w:p>
            <w:pPr>
              <w:pStyle w:val="Figure"/>
              <w:jc w:val="center"/>
            </w:pPr>
            <w:r>
              <w:drawing>
                <wp:inline>
                  <wp:extent cx="5334000" cy="7873787"/>
                  <wp:effectExtent b="0" l="0" r="0" t="0"/>
                  <wp:docPr descr="" title="" id="47" name="Picture"/>
                  <a:graphic>
                    <a:graphicData uri="http://schemas.openxmlformats.org/drawingml/2006/picture">
                      <pic:pic>
                        <pic:nvPicPr>
                          <pic:cNvPr descr="./images/fusion%20techniques.png" id="48" name="Picture"/>
                          <pic:cNvPicPr>
                            <a:picLocks noChangeArrowheads="1" noChangeAspect="1"/>
                          </pic:cNvPicPr>
                        </pic:nvPicPr>
                        <pic:blipFill>
                          <a:blip r:embed="rId46"/>
                          <a:stretch>
                            <a:fillRect/>
                          </a:stretch>
                        </pic:blipFill>
                        <pic:spPr bwMode="auto">
                          <a:xfrm>
                            <a:off x="0" y="0"/>
                            <a:ext cx="5334000" cy="78737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Credit:</w:t>
            </w:r>
            <w:r>
              <w:t xml:space="preserve"> </w:t>
            </w:r>
            <w:r>
              <w:t xml:space="preserve">Schulte to Bühne and Pettorelli (2018)</w:t>
            </w:r>
          </w:p>
          <w:bookmarkEnd w:id="49"/>
        </w:tc>
      </w:tr>
    </w:tbl>
    <w:p>
      <w:pPr>
        <w:pStyle w:val="BodyText"/>
      </w:pPr>
      <w:r>
        <w:t xml:space="preserve">Schematic overview of multispectral-radar SRS data fusion techniques. The parameter of interest can be a categorical variable, like land cover, or a continuous variable, like species richness. In pixel-level fusion, the original pixel values of radar and multispectral imagery are combined to yield new, derived pixel values. Object-based fusion refers to (1) using radar and multispectral imagery is input into an object-based image segmentation algorithm, or (2) segmenting each type of imagery separately before combining them. Finally, decision-level fusion corresponds to the process of quantitatively combining multispectral and radar imagery to derive the parameter of interest (by e.g. combining them in a regression model, or classification algorithm)</w:t>
      </w:r>
    </w:p>
    <w:bookmarkEnd w:id="50"/>
    <w:bookmarkStart w:id="55" w:name="implementation-approaches"/>
    <w:p>
      <w:pPr>
        <w:pStyle w:val="Heading3"/>
      </w:pPr>
      <w:r>
        <w:t xml:space="preserve">3.2.2 Implementation Approaches</w:t>
      </w:r>
    </w:p>
    <w:tbl>
      <w:tblPr>
        <w:tblStyle w:val="Table"/>
        <w:tblW w:type="pct" w:w="5000"/>
        <w:tblLook w:firstRow="0" w:lastRow="0" w:firstColumn="0" w:lastColumn="0" w:noHBand="0" w:noVBand="0" w:val="0000"/>
      </w:tblPr>
      <w:tblGrid>
        <w:gridCol w:w="7920"/>
      </w:tblGrid>
      <w:tr>
        <w:tc>
          <w:tcPr/>
          <w:bookmarkStart w:id="54" w:name="fig-impleApproach"/>
          <w:p>
            <w:pPr>
              <w:pStyle w:val="Figure"/>
              <w:jc w:val="center"/>
            </w:pPr>
            <w:r>
              <w:drawing>
                <wp:inline>
                  <wp:extent cx="5334000" cy="3920717"/>
                  <wp:effectExtent b="0" l="0" r="0" t="0"/>
                  <wp:docPr descr="" title="" id="52" name="Picture"/>
                  <a:graphic>
                    <a:graphicData uri="http://schemas.openxmlformats.org/drawingml/2006/picture">
                      <pic:pic>
                        <pic:nvPicPr>
                          <pic:cNvPr descr="./images/Implementation%20approach.png" id="53" name="Picture"/>
                          <pic:cNvPicPr>
                            <a:picLocks noChangeArrowheads="1" noChangeAspect="1"/>
                          </pic:cNvPicPr>
                        </pic:nvPicPr>
                        <pic:blipFill>
                          <a:blip r:embed="rId51"/>
                          <a:stretch>
                            <a:fillRect/>
                          </a:stretch>
                        </pic:blipFill>
                        <pic:spPr bwMode="auto">
                          <a:xfrm>
                            <a:off x="0" y="0"/>
                            <a:ext cx="5334000" cy="3920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Credit:</w:t>
            </w:r>
            <w:r>
              <w:t xml:space="preserve"> </w:t>
            </w:r>
            <w:r>
              <w:t xml:space="preserve">Schulte to Bühne and Pettorelli (2018)</w:t>
            </w:r>
          </w:p>
          <w:bookmarkEnd w:id="54"/>
        </w:tc>
      </w:tr>
    </w:tbl>
    <w:p>
      <w:pPr>
        <w:pStyle w:val="BodyText"/>
      </w:pPr>
      <w:r>
        <w:rPr>
          <w:iCs/>
          <w:i/>
          <w:bCs/>
          <w:b/>
        </w:rPr>
        <w:t xml:space="preserve">pixel-level</w:t>
      </w:r>
    </w:p>
    <w:p>
      <w:pPr>
        <w:numPr>
          <w:ilvl w:val="0"/>
          <w:numId w:val="1002"/>
        </w:numPr>
        <w:pStyle w:val="Compact"/>
      </w:pPr>
      <w:r>
        <w:t xml:space="preserve">Component substitution techniques: such as principal component analysis (PCA), Intensity-hue-saturation (IHS). </w:t>
      </w:r>
      <w:r>
        <w:br/>
      </w:r>
    </w:p>
    <w:p>
      <w:pPr>
        <w:numPr>
          <w:ilvl w:val="0"/>
          <w:numId w:val="1002"/>
        </w:numPr>
        <w:pStyle w:val="Compact"/>
      </w:pPr>
      <w:r>
        <w:t xml:space="preserve">PCA is the only pixel-level image fusion technique that cannot be applied to imagery with different spatial resolutions, and the only that allows unlimited image numbers.</w:t>
      </w:r>
      <w:r>
        <w:br/>
      </w:r>
    </w:p>
    <w:p>
      <w:pPr>
        <w:numPr>
          <w:ilvl w:val="0"/>
          <w:numId w:val="1002"/>
        </w:numPr>
        <w:pStyle w:val="Compact"/>
      </w:pPr>
      <w:r>
        <w:t xml:space="preserve">IHS fusion. Three images with lower spatial resolution (typically multispectral data) are integrated with a single image with high spatial resolution (typically radar) to retain the radiometry but increase the spatial resolution of the former. Facilitate visual interpretation by combining resulting images into a single RGB image.</w:t>
      </w:r>
      <w:r>
        <w:br/>
      </w:r>
    </w:p>
    <w:p>
      <w:pPr>
        <w:numPr>
          <w:ilvl w:val="0"/>
          <w:numId w:val="1002"/>
        </w:numPr>
        <w:pStyle w:val="Compact"/>
      </w:pPr>
      <w:r>
        <w:t xml:space="preserve">Multi-resolution analysis, such as **Wavelet transformation. Decompose multispectral and radar imagery into their respective low- and high-frequency components</w:t>
      </w:r>
      <w:r>
        <w:br/>
      </w:r>
    </w:p>
    <w:p>
      <w:pPr>
        <w:numPr>
          <w:ilvl w:val="0"/>
          <w:numId w:val="1002"/>
        </w:numPr>
        <w:pStyle w:val="Compact"/>
      </w:pPr>
      <w:r>
        <w:t xml:space="preserve">Arithmetic fusion techniques: such as the Brovey transform algorithm. Unlikely to be appropriate for multispectral-radar SRS image fusion.</w:t>
      </w:r>
    </w:p>
    <w:p>
      <w:pPr>
        <w:pStyle w:val="FirstParagraph"/>
      </w:pPr>
      <w:r>
        <w:rPr>
          <w:iCs/>
          <w:i/>
          <w:bCs/>
          <w:b/>
        </w:rPr>
        <w:t xml:space="preserve">Object-level</w:t>
      </w:r>
      <w:r>
        <w:t xml:space="preserve">: Based on brightness and intensity values of each pixel, as well as its spatial context, objects such as lines, shapes or textures are extracted.</w:t>
      </w:r>
    </w:p>
    <w:p>
      <w:pPr>
        <w:pStyle w:val="BodyText"/>
      </w:pPr>
      <w:r>
        <w:t xml:space="preserve">1. </w:t>
      </w:r>
      <w:r>
        <w:rPr>
          <w:bCs/>
          <w:b/>
        </w:rPr>
        <w:t xml:space="preserve">image segmentation:</w:t>
      </w:r>
      <w:r>
        <w:t xml:space="preserve"> </w:t>
      </w:r>
      <w:r>
        <w:t xml:space="preserve">Demands that multispectral and radar SRS images are with the same spatial resolution</w:t>
      </w:r>
    </w:p>
    <w:p>
      <w:pPr>
        <w:pStyle w:val="BodyText"/>
      </w:pPr>
      <w:r>
        <w:t xml:space="preserve">2. *extracting objects separately and combining in a feature map*</w:t>
      </w:r>
    </w:p>
    <w:p>
      <w:pPr>
        <w:pStyle w:val="BodyText"/>
      </w:pPr>
      <w:r>
        <w:t xml:space="preserve">Object-based fusion reduces all multispectral and radar information into a single layer of discrete objects, which are often relatively easy to relate to ecological features.</w:t>
      </w:r>
    </w:p>
    <w:p>
      <w:pPr>
        <w:pStyle w:val="BodyText"/>
      </w:pPr>
      <w:r>
        <w:rPr>
          <w:iCs/>
          <w:i/>
          <w:bCs/>
          <w:b/>
        </w:rPr>
        <w:t xml:space="preserve">Decision-level fusion</w:t>
      </w:r>
      <w:r>
        <w:t xml:space="preserve">: Quantitative decision-making frameworks—such as a regression, a quantitative model or a classification algorithm.</w:t>
      </w:r>
    </w:p>
    <w:bookmarkEnd w:id="55"/>
    <w:bookmarkEnd w:id="56"/>
    <w:bookmarkStart w:id="57" w:name="reflection-1"/>
    <w:p>
      <w:pPr>
        <w:pStyle w:val="Heading2"/>
      </w:pPr>
      <w:r>
        <w:t xml:space="preserve">3.3 Reflection</w:t>
      </w:r>
    </w:p>
    <w:p>
      <w:pPr>
        <w:pStyle w:val="FirstParagraph"/>
      </w:pPr>
      <w:r>
        <w:t xml:space="preserve">Data correction, Data fusion and Image enhancement SRS data fusion can increase the quality of SRS (Satellite Remote sensing)-derived parameters for application in terrain detection, urban analysis, ecology and conservation</w:t>
      </w:r>
      <w:r>
        <w:t xml:space="preserve"> </w:t>
      </w:r>
      <w:r>
        <w:t xml:space="preserve">(Schulte to Bühne and Pettorelli 2018)</w:t>
      </w:r>
      <w:r>
        <w:t xml:space="preserve">. It is thus important to explore how best to capitalise on recent technological developments and changes in SRS data availability. It is exctiing to apply solid machine learning methods to this area and it is marvelous to see the progress reflected by the increasing number of software supporting this application. The improvement of image quality enables new research designs in ecology and conservation areas and reignite previously greyed-out options.</w:t>
      </w:r>
    </w:p>
    <w:p>
      <w:pPr>
        <w:pStyle w:val="BodyText"/>
      </w:pPr>
      <w:r>
        <w:t xml:space="preserve">The application of data correction, data fusion, and image enhancement techniques to SRS data can greatly improve the accuracy and reliability of SRS-derived parameters, which can then be used in various fields, including terrain detection, urban analysis, ecology, and conservation. With the rapid advancements in technology and the increasing availability of SRS data, there is a growing opportunity to leverage the latest machine learning techniques in this area. The development of new software tools to support these applications is a testament to the progress being made in this field. By enhancing the quality of the SRS data, researchers are able to design more robust and informative studies, unlocking new insights and avenues for exploration in ecology and conservation. This, in turn, has the potential to lead to breakthroughs and innovations in these fields, making a significant impact on the world around us.</w:t>
      </w:r>
    </w:p>
    <w:bookmarkEnd w:id="57"/>
    <w:bookmarkEnd w:id="58"/>
    <w:bookmarkStart w:id="61" w:name="week4---policy-applications"/>
    <w:p>
      <w:pPr>
        <w:pStyle w:val="Heading1"/>
      </w:pPr>
      <w:r>
        <w:t xml:space="preserve">4. Week4 - Policy applications</w:t>
      </w:r>
    </w:p>
    <w:bookmarkStart w:id="60" w:name="summary-2"/>
    <w:p>
      <w:pPr>
        <w:pStyle w:val="Heading2"/>
      </w:pPr>
      <w:r>
        <w:t xml:space="preserve">4.1 Summary</w:t>
      </w:r>
    </w:p>
    <w:bookmarkStart w:id="59" w:name="sensor-data"/>
    <w:p>
      <w:pPr>
        <w:pStyle w:val="Heading3"/>
      </w:pPr>
      <w:r>
        <w:t xml:space="preserve">4.1.1 Sensor Data</w:t>
      </w:r>
    </w:p>
    <w:bookmarkEnd w:id="59"/>
    <w:bookmarkEnd w:id="60"/>
    <w:bookmarkEnd w:id="61"/>
    <w:bookmarkStart w:id="69" w:name="Xdb68c15a687e4787aa1e63d21a520aabcab728b"/>
    <w:p>
      <w:pPr>
        <w:pStyle w:val="Heading1"/>
      </w:pPr>
      <w:r>
        <w:t xml:space="preserve">5. Week 5 - An introduction to Google Earth Engine</w:t>
      </w:r>
    </w:p>
    <w:p>
      <w:pPr>
        <w:pStyle w:val="FirstParagraph"/>
      </w:pPr>
      <w:r>
        <w:t xml:space="preserve">This week introduces</w:t>
      </w:r>
      <w:r>
        <w:t xml:space="preserve"> </w:t>
      </w:r>
      <w:r>
        <w:rPr>
          <w:bCs/>
          <w:b/>
        </w:rPr>
        <w:t xml:space="preserve">Google Earth Engine (GEE)</w:t>
      </w:r>
      <w:r>
        <w:t xml:space="preserve">, a geospatial processing service that allows for planetary scale analysis of massive datasets in seconds.</w:t>
      </w:r>
    </w:p>
    <w:p>
      <w:pPr>
        <w:pStyle w:val="BodyText"/>
      </w:pPr>
      <w:r>
        <w:t xml:space="preserve">Basics:</w:t>
      </w:r>
    </w:p>
    <w:p>
      <w:pPr>
        <w:numPr>
          <w:ilvl w:val="0"/>
          <w:numId w:val="1003"/>
        </w:numPr>
        <w:pStyle w:val="Compact"/>
      </w:pPr>
      <w:r>
        <w:t xml:space="preserve">The set up of GEE, its terms and jargon, and client vs server side operations, see Table 1</w:t>
      </w:r>
    </w:p>
    <w:p>
      <w:pPr>
        <w:numPr>
          <w:ilvl w:val="0"/>
          <w:numId w:val="1003"/>
        </w:numPr>
        <w:pStyle w:val="Compact"/>
      </w:pPr>
      <w:r>
        <w:t xml:space="preserve">How GEE uses Javascript and how mapping functions are used instead of loops</w:t>
      </w:r>
    </w:p>
    <w:p>
      <w:pPr>
        <w:numPr>
          <w:ilvl w:val="0"/>
          <w:numId w:val="1003"/>
        </w:numPr>
        <w:pStyle w:val="Compact"/>
      </w:pPr>
      <w:r>
        <w:t xml:space="preserve">The concept of scale in GEE, which refers to both the volume of analysis and pixel resolution</w:t>
      </w:r>
    </w:p>
    <w:p>
      <w:pPr>
        <w:numPr>
          <w:ilvl w:val="0"/>
          <w:numId w:val="1003"/>
        </w:numPr>
        <w:pStyle w:val="Compact"/>
      </w:pPr>
      <w:r>
        <w:t xml:space="preserve">How GEE aggregates the image to fit a 256x256 grid.</w:t>
      </w:r>
    </w:p>
    <w:p>
      <w:pPr>
        <w:pStyle w:val="FirstParagraph"/>
      </w:pPr>
      <w:r>
        <w:t xml:space="preserve">Objects and methods in GEE are introduced:</w:t>
      </w:r>
    </w:p>
    <w:p>
      <w:pPr>
        <w:numPr>
          <w:ilvl w:val="0"/>
          <w:numId w:val="1004"/>
        </w:numPr>
        <w:pStyle w:val="Compact"/>
      </w:pPr>
      <w:r>
        <w:t xml:space="preserve">E.g. geometries, features, feature collections, and</w:t>
      </w:r>
    </w:p>
    <w:p>
      <w:pPr>
        <w:numPr>
          <w:ilvl w:val="0"/>
          <w:numId w:val="1004"/>
        </w:numPr>
        <w:pStyle w:val="Compact"/>
      </w:pPr>
      <w:r>
        <w:t xml:space="preserve">Various data reduction techniques (e.g., reducing images, reducing images by region(s), reducing images by neighborhood).</w:t>
      </w:r>
    </w:p>
    <w:p>
      <w:pPr>
        <w:pStyle w:val="FirstParagraph"/>
      </w:pPr>
      <w:r>
        <w:t xml:space="preserve">Also, the types of analyses that can be performed in GEE are briefly covered.</w:t>
      </w:r>
    </w:p>
    <w:bookmarkStart w:id="66" w:name="summary-3"/>
    <w:p>
      <w:pPr>
        <w:pStyle w:val="Heading2"/>
      </w:pPr>
      <w:r>
        <w:t xml:space="preserve">5.1 Summary</w:t>
      </w:r>
    </w:p>
    <w:bookmarkStart w:id="62" w:name="gee-basics"/>
    <w:p>
      <w:pPr>
        <w:pStyle w:val="Heading3"/>
      </w:pPr>
      <w:r>
        <w:t xml:space="preserve">5.1.1 GEE Basics</w:t>
      </w:r>
    </w:p>
    <w:p>
      <w:pPr>
        <w:pStyle w:val="FirstParagraph"/>
      </w:pPr>
      <w:r>
        <w:t xml:space="preserve">JavaScript, where objects are dictionaries:</w:t>
      </w:r>
    </w:p>
    <w:p>
      <w:pPr>
        <w:numPr>
          <w:ilvl w:val="0"/>
          <w:numId w:val="1005"/>
        </w:numPr>
        <w:pStyle w:val="Compact"/>
      </w:pPr>
      <w:r>
        <w:t xml:space="preserve">We have ee (EarthEngine), a powerful package. Anything starting with ee (proxy objects) are stored on the server.</w:t>
      </w:r>
    </w:p>
    <w:p>
      <w:pPr>
        <w:numPr>
          <w:ilvl w:val="0"/>
          <w:numId w:val="1005"/>
        </w:numPr>
        <w:pStyle w:val="Compact"/>
      </w:pPr>
      <w:r>
        <w:t xml:space="preserve">Problems:</w:t>
      </w:r>
    </w:p>
    <w:p>
      <w:pPr>
        <w:numPr>
          <w:ilvl w:val="1"/>
          <w:numId w:val="1006"/>
        </w:numPr>
        <w:pStyle w:val="Compact"/>
      </w:pPr>
      <w:r>
        <w:t xml:space="preserve">We don’t iterate the data on the server; instead, we map (using a mapping function) them into objects (variables) so we only load them once.</w:t>
      </w:r>
    </w:p>
    <w:p>
      <w:pPr>
        <w:numPr>
          <w:ilvl w:val="1"/>
          <w:numId w:val="1006"/>
        </w:numPr>
        <w:pStyle w:val="Compact"/>
      </w:pPr>
      <w:r>
        <w:t xml:space="preserve">There are also some sort of server-wide functions.</w:t>
      </w:r>
    </w:p>
    <w:p>
      <w:pPr>
        <w:numPr>
          <w:ilvl w:val="1"/>
          <w:numId w:val="1006"/>
        </w:numPr>
        <w:pStyle w:val="Compact"/>
      </w:pPr>
      <w:r>
        <w:t xml:space="preserve">Avoid using loops in GEE on the server-side, as mapping can automatically detect the number of loops needed.</w:t>
      </w:r>
    </w:p>
    <w:p>
      <w:pPr>
        <w:pStyle w:val="FirstParagraph"/>
      </w:pPr>
      <w:r>
        <w:t xml:space="preserve">Scale:</w:t>
      </w:r>
    </w:p>
    <w:p>
      <w:pPr>
        <w:numPr>
          <w:ilvl w:val="0"/>
          <w:numId w:val="1007"/>
        </w:numPr>
        <w:pStyle w:val="Compact"/>
      </w:pPr>
      <w:r>
        <w:t xml:space="preserve">Pixel resolution, set by the output.</w:t>
      </w:r>
    </w:p>
    <w:p>
      <w:pPr>
        <w:numPr>
          <w:ilvl w:val="0"/>
          <w:numId w:val="1007"/>
        </w:numPr>
        <w:pStyle w:val="Compact"/>
      </w:pPr>
      <w:r>
        <w:t xml:space="preserve">GEE does resampling, aggregating your input to a 256*256, mainly down-sampling.</w:t>
      </w:r>
    </w:p>
    <w:p>
      <w:pPr>
        <w:pStyle w:val="FirstParagraph"/>
      </w:pPr>
      <w:r>
        <w:t xml:space="preserve">Table 1: Terms and Jargon Related to Google Earth Engine</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Google Earth Engine</w:t>
            </w:r>
          </w:p>
        </w:tc>
        <w:tc>
          <w:tcPr/>
          <w:p>
            <w:pPr>
              <w:pStyle w:val="Compact"/>
              <w:jc w:val="left"/>
            </w:pPr>
            <w:r>
              <w:t xml:space="preserve">A geospatial processing service that allows geospatial analysis at scale.</w:t>
            </w:r>
          </w:p>
        </w:tc>
      </w:tr>
      <w:tr>
        <w:tc>
          <w:tcPr/>
          <w:p>
            <w:pPr>
              <w:pStyle w:val="Compact"/>
              <w:jc w:val="left"/>
            </w:pPr>
            <w:r>
              <w:t xml:space="preserve">Image</w:t>
            </w:r>
          </w:p>
        </w:tc>
        <w:tc>
          <w:tcPr/>
          <w:p>
            <w:pPr>
              <w:pStyle w:val="Compact"/>
              <w:jc w:val="left"/>
            </w:pPr>
            <w:r>
              <w:t xml:space="preserve">Refers to raster data in GEE and has bands.</w:t>
            </w:r>
          </w:p>
        </w:tc>
      </w:tr>
      <w:tr>
        <w:tc>
          <w:tcPr/>
          <w:p>
            <w:pPr>
              <w:pStyle w:val="Compact"/>
              <w:jc w:val="left"/>
            </w:pPr>
            <w:r>
              <w:t xml:space="preserve">Feature</w:t>
            </w:r>
          </w:p>
        </w:tc>
        <w:tc>
          <w:tcPr/>
          <w:p>
            <w:pPr>
              <w:pStyle w:val="Compact"/>
              <w:jc w:val="left"/>
            </w:pPr>
            <w:r>
              <w:t xml:space="preserve">Refers to vector data in GEE and has geometry and attributes.</w:t>
            </w:r>
          </w:p>
        </w:tc>
      </w:tr>
      <w:tr>
        <w:tc>
          <w:tcPr/>
          <w:p>
            <w:pPr>
              <w:pStyle w:val="Compact"/>
              <w:jc w:val="left"/>
            </w:pPr>
            <w:r>
              <w:t xml:space="preserve">ImageCollection</w:t>
            </w:r>
          </w:p>
        </w:tc>
        <w:tc>
          <w:tcPr/>
          <w:p>
            <w:pPr>
              <w:pStyle w:val="Compact"/>
              <w:jc w:val="left"/>
            </w:pPr>
            <w:r>
              <w:t xml:space="preserve">A stack of images in GEE.</w:t>
            </w:r>
          </w:p>
        </w:tc>
      </w:tr>
      <w:tr>
        <w:tc>
          <w:tcPr/>
          <w:p>
            <w:pPr>
              <w:pStyle w:val="Compact"/>
              <w:jc w:val="left"/>
            </w:pPr>
            <w:r>
              <w:t xml:space="preserve">FeatureCollection</w:t>
            </w:r>
          </w:p>
        </w:tc>
        <w:tc>
          <w:tcPr/>
          <w:p>
            <w:pPr>
              <w:pStyle w:val="Compact"/>
              <w:jc w:val="left"/>
            </w:pPr>
            <w:r>
              <w:t xml:space="preserve">A stack of features (lots of polygons) in GEE.</w:t>
            </w:r>
          </w:p>
        </w:tc>
      </w:tr>
      <w:tr>
        <w:tc>
          <w:tcPr/>
          <w:p>
            <w:pPr>
              <w:pStyle w:val="Compact"/>
              <w:jc w:val="left"/>
            </w:pPr>
            <w:r>
              <w:t xml:space="preserve">Proxy objects</w:t>
            </w:r>
          </w:p>
        </w:tc>
        <w:tc>
          <w:tcPr/>
          <w:p>
            <w:pPr>
              <w:pStyle w:val="Compact"/>
              <w:jc w:val="left"/>
            </w:pPr>
            <w:r>
              <w:t xml:space="preserve">GEE objects that are stored on the server and have no data in the script.</w:t>
            </w:r>
          </w:p>
        </w:tc>
      </w:tr>
    </w:tbl>
    <w:p>
      <w:pPr>
        <w:pStyle w:val="BodyText"/>
      </w:pPr>
      <w:r>
        <w:t xml:space="preserve">Table 2: Differences between Client and Server Side in Google Earth Engine</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Aspect</w:t>
            </w:r>
          </w:p>
        </w:tc>
        <w:tc>
          <w:tcPr/>
          <w:p>
            <w:pPr>
              <w:pStyle w:val="Compact"/>
              <w:jc w:val="left"/>
            </w:pPr>
            <w:r>
              <w:t xml:space="preserve">Definition</w:t>
            </w:r>
          </w:p>
        </w:tc>
      </w:tr>
      <w:tr>
        <w:tc>
          <w:tcPr/>
          <w:p>
            <w:pPr>
              <w:pStyle w:val="Compact"/>
              <w:jc w:val="left"/>
            </w:pPr>
            <w:r>
              <w:t xml:space="preserve">Client Side</w:t>
            </w:r>
          </w:p>
        </w:tc>
        <w:tc>
          <w:tcPr/>
          <w:p>
            <w:pPr>
              <w:pStyle w:val="Compact"/>
              <w:jc w:val="left"/>
            </w:pPr>
            <w:r>
              <w:t xml:space="preserve">Refers to the browser side of GEE.</w:t>
            </w:r>
          </w:p>
        </w:tc>
      </w:tr>
      <w:tr>
        <w:tc>
          <w:tcPr/>
          <w:p>
            <w:pPr>
              <w:pStyle w:val="Compact"/>
              <w:jc w:val="left"/>
            </w:pPr>
            <w:r>
              <w:t xml:space="preserve">Server Side</w:t>
            </w:r>
          </w:p>
        </w:tc>
        <w:tc>
          <w:tcPr/>
          <w:p>
            <w:pPr>
              <w:pStyle w:val="Compact"/>
              <w:jc w:val="left"/>
            </w:pPr>
            <w:r>
              <w:t xml:space="preserve">Refers to the side of GEE where data is stored.</w:t>
            </w:r>
          </w:p>
        </w:tc>
      </w:tr>
      <w:tr>
        <w:tc>
          <w:tcPr/>
          <w:p>
            <w:pPr>
              <w:pStyle w:val="Compact"/>
              <w:jc w:val="left"/>
            </w:pPr>
            <w:r>
              <w:t xml:space="preserve">Earth Engine Objects</w:t>
            </w:r>
          </w:p>
        </w:tc>
        <w:tc>
          <w:tcPr/>
          <w:p>
            <w:pPr>
              <w:pStyle w:val="Compact"/>
              <w:jc w:val="left"/>
            </w:pPr>
            <w:r>
              <w:t xml:space="preserve">Objects in GEE starting with</w:t>
            </w:r>
            <w:r>
              <w:t xml:space="preserve"> </w:t>
            </w:r>
            <w:r>
              <w:t xml:space="preserve">“</w:t>
            </w:r>
            <w:r>
              <w:t xml:space="preserve">ee</w:t>
            </w:r>
            <w:r>
              <w:t xml:space="preserve">”</w:t>
            </w:r>
            <w:r>
              <w:t xml:space="preserve">.</w:t>
            </w:r>
          </w:p>
        </w:tc>
      </w:tr>
      <w:tr>
        <w:tc>
          <w:tcPr/>
          <w:p>
            <w:pPr>
              <w:pStyle w:val="Compact"/>
              <w:jc w:val="left"/>
            </w:pPr>
            <w:r>
              <w:t xml:space="preserve">Looping</w:t>
            </w:r>
          </w:p>
        </w:tc>
        <w:tc>
          <w:tcPr/>
          <w:p>
            <w:pPr>
              <w:pStyle w:val="Compact"/>
              <w:jc w:val="left"/>
            </w:pPr>
            <w:r>
              <w:t xml:space="preserve">Looping is not recommended for objects on the server side.</w:t>
            </w:r>
          </w:p>
        </w:tc>
      </w:tr>
      <w:tr>
        <w:tc>
          <w:tcPr/>
          <w:p>
            <w:pPr>
              <w:pStyle w:val="Compact"/>
              <w:jc w:val="left"/>
            </w:pPr>
            <w:r>
              <w:t xml:space="preserve">Mapping</w:t>
            </w:r>
          </w:p>
        </w:tc>
        <w:tc>
          <w:tcPr/>
          <w:p>
            <w:pPr>
              <w:pStyle w:val="Compact"/>
              <w:jc w:val="left"/>
            </w:pPr>
            <w:r>
              <w:t xml:space="preserve">Instead of loops, mapping is used in GEE to apply a function to everything on the server.</w:t>
            </w:r>
          </w:p>
        </w:tc>
      </w:tr>
      <w:tr>
        <w:tc>
          <w:tcPr/>
          <w:p>
            <w:pPr>
              <w:pStyle w:val="Compact"/>
              <w:jc w:val="left"/>
            </w:pPr>
            <w:r>
              <w:t xml:space="preserve">Scale</w:t>
            </w:r>
          </w:p>
        </w:tc>
        <w:tc>
          <w:tcPr/>
          <w:p>
            <w:pPr>
              <w:pStyle w:val="Compact"/>
              <w:jc w:val="left"/>
            </w:pPr>
            <w:r>
              <w:t xml:space="preserve">Scale refers to pixel resolution in GEE. The scale is set by the output, not the input, and Earth Engine selects the pyramid with the closest scale to analysis.</w:t>
            </w:r>
          </w:p>
        </w:tc>
      </w:tr>
    </w:tbl>
    <w:bookmarkEnd w:id="62"/>
    <w:bookmarkStart w:id="63" w:name="gee-objects"/>
    <w:p>
      <w:pPr>
        <w:pStyle w:val="Heading3"/>
      </w:pPr>
      <w:r>
        <w:t xml:space="preserve">5.1.2 GEE Objects</w:t>
      </w:r>
    </w:p>
    <w:p>
      <w:pPr>
        <w:pStyle w:val="FirstParagraph"/>
      </w:pPr>
      <w:r>
        <w:t xml:space="preserve">Objects:</w:t>
      </w:r>
    </w:p>
    <w:p>
      <w:pPr>
        <w:numPr>
          <w:ilvl w:val="0"/>
          <w:numId w:val="1008"/>
        </w:numPr>
        <w:pStyle w:val="Compact"/>
      </w:pPr>
      <w:r>
        <w:t xml:space="preserve">Images (Rasters), geometry, ImageCol, features, featureCol, joins, arrays, chart.</w:t>
      </w:r>
    </w:p>
    <w:p>
      <w:pPr>
        <w:pStyle w:val="FirstParagraph"/>
      </w:pPr>
      <w:r>
        <w:t xml:space="preserve">Table 3: Geometry Types and Features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Type of Geometry</w:t>
            </w:r>
          </w:p>
        </w:tc>
        <w:tc>
          <w:tcPr/>
          <w:p>
            <w:pPr>
              <w:pStyle w:val="Compact"/>
              <w:jc w:val="left"/>
            </w:pPr>
            <w:r>
              <w:t xml:space="preserve">Description</w:t>
            </w:r>
          </w:p>
        </w:tc>
      </w:tr>
      <w:tr>
        <w:tc>
          <w:tcPr/>
          <w:p>
            <w:pPr>
              <w:pStyle w:val="Compact"/>
              <w:jc w:val="left"/>
            </w:pPr>
            <w:r>
              <w:t xml:space="preserve">Point</w:t>
            </w:r>
          </w:p>
        </w:tc>
        <w:tc>
          <w:tcPr/>
          <w:p>
            <w:pPr>
              <w:pStyle w:val="Compact"/>
              <w:jc w:val="left"/>
            </w:pPr>
            <w:r>
              <w:t xml:space="preserve">A single location represented by its longitude and latitude</w:t>
            </w:r>
          </w:p>
        </w:tc>
      </w:tr>
      <w:tr>
        <w:tc>
          <w:tcPr/>
          <w:p>
            <w:pPr>
              <w:pStyle w:val="Compact"/>
              <w:jc w:val="left"/>
            </w:pPr>
            <w:r>
              <w:t xml:space="preserve">Line</w:t>
            </w:r>
          </w:p>
        </w:tc>
        <w:tc>
          <w:tcPr/>
          <w:p>
            <w:pPr>
              <w:pStyle w:val="Compact"/>
              <w:jc w:val="left"/>
            </w:pPr>
            <w:r>
              <w:t xml:space="preserve">A series of connected points representing a linear feature</w:t>
            </w:r>
          </w:p>
        </w:tc>
      </w:tr>
      <w:tr>
        <w:tc>
          <w:tcPr/>
          <w:p>
            <w:pPr>
              <w:pStyle w:val="Compact"/>
              <w:jc w:val="left"/>
            </w:pPr>
            <w:r>
              <w:t xml:space="preserve">Polygon</w:t>
            </w:r>
          </w:p>
        </w:tc>
        <w:tc>
          <w:tcPr/>
          <w:p>
            <w:pPr>
              <w:pStyle w:val="Compact"/>
              <w:jc w:val="left"/>
            </w:pPr>
            <w:r>
              <w:t xml:space="preserve">A closed shape with three or more sides, represented by a series of connected lines forming a closed loop</w:t>
            </w:r>
          </w:p>
        </w:tc>
      </w:tr>
      <w:tr>
        <w:tc>
          <w:tcPr/>
          <w:p>
            <w:pPr>
              <w:pStyle w:val="Compact"/>
              <w:jc w:val="left"/>
            </w:pPr>
            <w:r>
              <w:t xml:space="preserve">MultiPolygon</w:t>
            </w:r>
          </w:p>
        </w:tc>
        <w:tc>
          <w:tcPr/>
          <w:p>
            <w:pPr>
              <w:pStyle w:val="Compact"/>
              <w:jc w:val="left"/>
            </w:pPr>
            <w:r>
              <w:t xml:space="preserve">A collection of polygons, where each polygon is represented as a list of coordinate tuples defining its vertices</w:t>
            </w:r>
          </w:p>
        </w:tc>
      </w:tr>
      <w:tr>
        <w:tc>
          <w:tcPr/>
          <w:p>
            <w:pPr>
              <w:pStyle w:val="Compact"/>
              <w:jc w:val="left"/>
            </w:pPr>
            <w:r>
              <w:t xml:space="preserve">MultiGeometry</w:t>
            </w:r>
          </w:p>
        </w:tc>
        <w:tc>
          <w:tcPr/>
          <w:p>
            <w:pPr>
              <w:pStyle w:val="Compact"/>
              <w:jc w:val="left"/>
            </w:pPr>
            <w:r>
              <w:t xml:space="preserve">A collection of different types of geometries</w:t>
            </w:r>
          </w:p>
        </w:tc>
      </w:tr>
    </w:tbl>
    <w:bookmarkEnd w:id="63"/>
    <w:bookmarkStart w:id="64" w:name="gee-processes-and-applicationsoutputs"/>
    <w:p>
      <w:pPr>
        <w:pStyle w:val="Heading3"/>
      </w:pPr>
      <w:r>
        <w:t xml:space="preserve">5.1.3 GEE Processes and Applications/Outputs</w:t>
      </w:r>
    </w:p>
    <w:p>
      <w:pPr>
        <w:pStyle w:val="FirstParagraph"/>
      </w:pPr>
      <w:r>
        <w:t xml:space="preserve">GEE applications:</w:t>
      </w:r>
    </w:p>
    <w:p>
      <w:pPr>
        <w:numPr>
          <w:ilvl w:val="0"/>
          <w:numId w:val="1009"/>
        </w:numPr>
        <w:pStyle w:val="Compact"/>
      </w:pPr>
      <w:r>
        <w:t xml:space="preserve">Reducing types.</w:t>
      </w:r>
    </w:p>
    <w:p>
      <w:pPr>
        <w:numPr>
          <w:ilvl w:val="0"/>
          <w:numId w:val="1009"/>
        </w:numPr>
        <w:pStyle w:val="Compact"/>
      </w:pPr>
      <w:r>
        <w:t xml:space="preserve">Different to filterBounds() that filters the area of interest, to do zonal statistics, we have reduceRegion(), where regions are subcategories of the area of interest.</w:t>
      </w:r>
    </w:p>
    <w:p>
      <w:pPr>
        <w:numPr>
          <w:ilvl w:val="0"/>
          <w:numId w:val="1009"/>
        </w:numPr>
        <w:pStyle w:val="Compact"/>
      </w:pPr>
      <w:r>
        <w:t xml:space="preserve">Also, we have reduceNeighborhood(), which is a bit like a kind of image enhancement.</w:t>
      </w:r>
    </w:p>
    <w:p>
      <w:pPr>
        <w:pStyle w:val="FirstParagraph"/>
      </w:pPr>
      <w:r>
        <w:t xml:space="preserve">Linear Regressions:</w:t>
      </w:r>
    </w:p>
    <w:p>
      <w:pPr>
        <w:numPr>
          <w:ilvl w:val="0"/>
          <w:numId w:val="1010"/>
        </w:numPr>
        <w:pStyle w:val="Compact"/>
      </w:pPr>
      <w:r>
        <w:t xml:space="preserve">In a scenario of visualising precipitation, we can do a multivariate multiple linear regression where both independent variables (time) and dependent (precip, temp) variables are multiple.</w:t>
      </w:r>
    </w:p>
    <w:p>
      <w:pPr>
        <w:numPr>
          <w:ilvl w:val="0"/>
          <w:numId w:val="1010"/>
        </w:numPr>
        <w:pStyle w:val="Compact"/>
      </w:pPr>
      <w:r>
        <w:t xml:space="preserve">Something about constant bound.</w:t>
      </w:r>
    </w:p>
    <w:p>
      <w:pPr>
        <w:pStyle w:val="FirstParagraph"/>
      </w:pPr>
      <w:r>
        <w:t xml:space="preserve">Joins:</w:t>
      </w:r>
    </w:p>
    <w:p>
      <w:pPr>
        <w:numPr>
          <w:ilvl w:val="0"/>
          <w:numId w:val="1011"/>
        </w:numPr>
        <w:pStyle w:val="Compact"/>
      </w:pPr>
      <w:r>
        <w:t xml:space="preserve">In GEE, everything, e.g. within a buffer, intersect, etc. needs the mediation of Join (apply()).</w:t>
      </w:r>
    </w:p>
    <w:p>
      <w:pPr>
        <w:numPr>
          <w:ilvl w:val="0"/>
          <w:numId w:val="1011"/>
        </w:numPr>
        <w:pStyle w:val="Compact"/>
      </w:pPr>
      <w:r>
        <w:t xml:space="preserve">To perform joins, we need to put data into Filter().</w:t>
      </w:r>
    </w:p>
    <w:p>
      <w:pPr>
        <w:pStyle w:val="FirstParagraph"/>
      </w:pPr>
      <w:r>
        <w:t xml:space="preserve">Classifiers:</w:t>
      </w:r>
    </w:p>
    <w:p>
      <w:pPr>
        <w:numPr>
          <w:ilvl w:val="0"/>
          <w:numId w:val="1012"/>
        </w:numPr>
        <w:pStyle w:val="Compact"/>
      </w:pPr>
      <w:r>
        <w:t xml:space="preserve">Per-pixel</w:t>
      </w:r>
    </w:p>
    <w:p>
      <w:pPr>
        <w:numPr>
          <w:ilvl w:val="0"/>
          <w:numId w:val="1012"/>
        </w:numPr>
        <w:pStyle w:val="Compact"/>
      </w:pPr>
      <w:r>
        <w:t xml:space="preserve">sub-pixel</w:t>
      </w:r>
    </w:p>
    <w:p>
      <w:pPr>
        <w:pStyle w:val="FirstParagraph"/>
      </w:pPr>
      <w:r>
        <w:t xml:space="preserve">Table 4: GEE Processes and Applications/Outputs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Process</w:t>
            </w:r>
          </w:p>
        </w:tc>
        <w:tc>
          <w:tcPr/>
          <w:p>
            <w:pPr>
              <w:pStyle w:val="Compact"/>
              <w:jc w:val="left"/>
            </w:pPr>
            <w:r>
              <w:t xml:space="preserve">Description</w:t>
            </w:r>
          </w:p>
        </w:tc>
      </w:tr>
      <w:tr>
        <w:tc>
          <w:tcPr/>
          <w:p>
            <w:pPr>
              <w:pStyle w:val="Compact"/>
              <w:jc w:val="left"/>
            </w:pPr>
            <w:r>
              <w:t xml:space="preserve">Geometry operations</w:t>
            </w:r>
          </w:p>
        </w:tc>
        <w:tc>
          <w:tcPr/>
          <w:p>
            <w:pPr>
              <w:pStyle w:val="Compact"/>
              <w:jc w:val="left"/>
            </w:pPr>
            <w:r>
              <w:t xml:space="preserve">Spatial operations such as union, intersection, buffer, and distance analysis</w:t>
            </w:r>
          </w:p>
        </w:tc>
      </w:tr>
      <w:tr>
        <w:tc>
          <w:tcPr/>
          <w:p>
            <w:pPr>
              <w:pStyle w:val="Compact"/>
              <w:jc w:val="left"/>
            </w:pPr>
            <w:r>
              <w:t xml:space="preserve">Joins</w:t>
            </w:r>
          </w:p>
        </w:tc>
        <w:tc>
          <w:tcPr/>
          <w:p>
            <w:pPr>
              <w:pStyle w:val="Compact"/>
              <w:jc w:val="left"/>
            </w:pPr>
            <w:r>
              <w:t xml:space="preserve">Combining two feature collections based on a shared attribute value</w:t>
            </w:r>
          </w:p>
        </w:tc>
      </w:tr>
      <w:tr>
        <w:tc>
          <w:tcPr/>
          <w:p>
            <w:pPr>
              <w:pStyle w:val="Compact"/>
              <w:jc w:val="left"/>
            </w:pPr>
            <w:r>
              <w:t xml:space="preserve">Zonal statistics</w:t>
            </w:r>
          </w:p>
        </w:tc>
        <w:tc>
          <w:tcPr/>
          <w:p>
            <w:pPr>
              <w:pStyle w:val="Compact"/>
              <w:jc w:val="left"/>
            </w:pPr>
            <w:r>
              <w:t xml:space="preserve">Computing statistics for a region or set of regions such as mean, median, and mode of pixel values within a feature or a collection of features</w:t>
            </w:r>
          </w:p>
        </w:tc>
      </w:tr>
      <w:tr>
        <w:tc>
          <w:tcPr/>
          <w:p>
            <w:pPr>
              <w:pStyle w:val="Compact"/>
              <w:jc w:val="left"/>
            </w:pPr>
            <w:r>
              <w:t xml:space="preserve">Filtering</w:t>
            </w:r>
          </w:p>
        </w:tc>
        <w:tc>
          <w:tcPr/>
          <w:p>
            <w:pPr>
              <w:pStyle w:val="Compact"/>
              <w:jc w:val="left"/>
            </w:pPr>
            <w:r>
              <w:t xml:space="preserve">Filtering of images or specific values based on criteria such as date range, location, and attribute value</w:t>
            </w:r>
          </w:p>
        </w:tc>
      </w:tr>
      <w:tr>
        <w:tc>
          <w:tcPr/>
          <w:p>
            <w:pPr>
              <w:pStyle w:val="Compact"/>
              <w:jc w:val="left"/>
            </w:pPr>
            <w:r>
              <w:t xml:space="preserve">Machine learning</w:t>
            </w:r>
          </w:p>
        </w:tc>
        <w:tc>
          <w:tcPr/>
          <w:p>
            <w:pPr>
              <w:pStyle w:val="Compact"/>
              <w:jc w:val="left"/>
            </w:pPr>
            <w:r>
              <w:t xml:space="preserve">Using statistical and machine learning algorithms for classification, clustering, and prediction tasks</w:t>
            </w:r>
          </w:p>
        </w:tc>
      </w:tr>
      <w:tr>
        <w:tc>
          <w:tcPr/>
          <w:p>
            <w:pPr>
              <w:pStyle w:val="Compact"/>
              <w:jc w:val="left"/>
            </w:pPr>
            <w:r>
              <w:t xml:space="preserve">Deep learning</w:t>
            </w:r>
          </w:p>
        </w:tc>
        <w:tc>
          <w:tcPr/>
          <w:p>
            <w:pPr>
              <w:pStyle w:val="Compact"/>
              <w:jc w:val="left"/>
            </w:pPr>
            <w:r>
              <w:t xml:space="preserve">A subset of machine, using Deep Neural Networks</w:t>
            </w:r>
          </w:p>
        </w:tc>
      </w:tr>
    </w:tbl>
    <w:bookmarkEnd w:id="64"/>
    <w:bookmarkStart w:id="65" w:name="limitations"/>
    <w:p>
      <w:pPr>
        <w:pStyle w:val="Heading3"/>
      </w:pPr>
      <w:r>
        <w:t xml:space="preserve">5.1.4 Limitations</w:t>
      </w:r>
    </w:p>
    <w:p>
      <w:pPr>
        <w:pStyle w:val="FirstParagraph"/>
      </w:pPr>
      <w:r>
        <w:t xml:space="preserve">No support for phase data, needs SNAP.</w:t>
      </w:r>
    </w:p>
    <w:bookmarkEnd w:id="65"/>
    <w:bookmarkEnd w:id="66"/>
    <w:bookmarkStart w:id="67" w:name="application-1"/>
    <w:p>
      <w:pPr>
        <w:pStyle w:val="Heading2"/>
      </w:pPr>
      <w:r>
        <w:t xml:space="preserve">5.2 Application</w:t>
      </w:r>
    </w:p>
    <w:bookmarkEnd w:id="67"/>
    <w:bookmarkStart w:id="68" w:name="reflection-2"/>
    <w:p>
      <w:pPr>
        <w:pStyle w:val="Heading2"/>
      </w:pPr>
      <w:r>
        <w:t xml:space="preserve">5.3 Reflection</w:t>
      </w:r>
    </w:p>
    <w:p>
      <w:pPr>
        <w:pStyle w:val="FirstParagraph"/>
      </w:pPr>
      <w:r>
        <w:t xml:space="preserve">GEE-using skills can be a valuable asset for a spatial data scientist, as it allows for complex spatial analysis at scale. Traditional GIS software is eclipsed when it comes to both efficiency and scale.</w:t>
      </w:r>
    </w:p>
    <w:p>
      <w:pPr>
        <w:pStyle w:val="BodyText"/>
      </w:pPr>
      <w:r>
        <w:t xml:space="preserve">GEE’s unique and efficient way of conducting analysis flows is interesting, such as the introduction of concepts like client vs server-side operations and data reduction techniques. These was required by GEE’s feature of carrying out analyses on massive datasets</w:t>
      </w:r>
      <w:r>
        <w:t xml:space="preserve"> </w:t>
      </w:r>
      <w:r>
        <w:t xml:space="preserve">(Gorelick et al. 2017)</w:t>
      </w:r>
      <w:r>
        <w:t xml:space="preserve">. For those interested in BigData technology, the strategies (server/client split, no looping on server, etc.) applied by Google here is a very resourceful one and worth learning. The user end also has to learn to adopt good practices for reducing data range, which has been simplified to a series of reduction and filtering functions, e.g. </w:t>
      </w:r>
      <w:r>
        <w:rPr>
          <w:rStyle w:val="VerbatimChar"/>
        </w:rPr>
        <w:t xml:space="preserve">ImageCollection.filterDate(), image.reduceNeighborhood()</w:t>
      </w:r>
      <w:r>
        <w:t xml:space="preserve">(Google 2023b)</w:t>
      </w:r>
      <w:r>
        <w:t xml:space="preserve">.</w:t>
      </w:r>
    </w:p>
    <w:p>
      <w:pPr>
        <w:pStyle w:val="BodyText"/>
      </w:pPr>
      <w:r>
        <w:t xml:space="preserve">GEE’s combination with machine learning is also promising in regard of automating complex analysis tasks, as Machine Learning APIs offered by GEE support Supervised and Unsupervised Classification, and Regression</w:t>
      </w:r>
      <w:r>
        <w:t xml:space="preserve"> </w:t>
      </w:r>
      <w:r>
        <w:t xml:space="preserve">(Google 2023a)</w:t>
      </w:r>
      <w:r>
        <w:t xml:space="preserve">. According to</w:t>
      </w:r>
      <w:r>
        <w:t xml:space="preserve"> </w:t>
      </w:r>
      <w:r>
        <w:t xml:space="preserve">Saad El Imanni et al. (2023)</w:t>
      </w:r>
      <w:r>
        <w:t xml:space="preserve">, as a subtask of intelligent agriculture, weeds detection task sees an impressive performance (overall accuracy reached 96.87%) when GEE and Machine learning are combined.</w:t>
      </w:r>
    </w:p>
    <w:bookmarkEnd w:id="68"/>
    <w:bookmarkEnd w:id="69"/>
    <w:bookmarkStart w:id="70" w:name="section"/>
    <w:p>
      <w:pPr>
        <w:pStyle w:val="Heading1"/>
      </w:pPr>
      <w:r>
        <w:t xml:space="preserve">6. </w:t>
      </w:r>
    </w:p>
    <w:bookmarkEnd w:id="70"/>
    <w:bookmarkStart w:id="91" w:name="week7---classification-and-accuracy"/>
    <w:p>
      <w:pPr>
        <w:pStyle w:val="Heading1"/>
      </w:pPr>
      <w:r>
        <w:t xml:space="preserve">7. Week7 - Classification and Accuracy</w:t>
      </w:r>
    </w:p>
    <w:p>
      <w:pPr>
        <w:pStyle w:val="FirstParagraph"/>
      </w:pPr>
      <w:r>
        <w:t xml:space="preserve">This week’s learning diary continues that from Week 6 in addressing the big problem in Remote Sensingm, i.e. classification within Earth Observation data. Also, accuracy metrics are discussed.</w:t>
      </w:r>
    </w:p>
    <w:bookmarkStart w:id="88" w:name="summary-4"/>
    <w:p>
      <w:pPr>
        <w:pStyle w:val="Heading2"/>
      </w:pPr>
      <w:r>
        <w:t xml:space="preserve">7.1 Summary</w:t>
      </w:r>
    </w:p>
    <w:p>
      <w:pPr>
        <w:pStyle w:val="FirstParagraph"/>
      </w:pPr>
      <w:r>
        <w:t xml:space="preserve">The summary of lecture content as well as practical outcomes. See</w:t>
      </w:r>
      <w:r>
        <w:t xml:space="preserve"> </w:t>
      </w:r>
      <w:r>
        <w:rPr>
          <w:bCs/>
          <w:b/>
        </w:rPr>
        <w:t xml:space="preserve">?@fig-mindmap</w:t>
      </w:r>
      <w:r>
        <w:t xml:space="preserve"> </w:t>
      </w:r>
      <w:r>
        <w:t xml:space="preserve">for an overview. If certain words are intelligible due to resolution issues, hopefully you can right click and</w:t>
      </w:r>
      <w:r>
        <w:t xml:space="preserve"> </w:t>
      </w:r>
      <w:r>
        <w:t xml:space="preserve">“</w:t>
      </w:r>
      <w:r>
        <w:t xml:space="preserve">open in new page</w:t>
      </w:r>
      <w:r>
        <w:t xml:space="preserve">”</w:t>
      </w:r>
      <w:r>
        <w:t xml:space="preserve"> </w:t>
      </w:r>
      <w:r>
        <w:t xml:space="preserve">to get a better view since this is a .SVG file.</w:t>
      </w:r>
      <w:r>
        <w:t xml:space="preserve"> </w:t>
      </w:r>
      <w:bookmarkStart w:id="74" w:name="fig-mindmap"/>
      <w:r>
        <w:drawing>
          <wp:inline>
            <wp:extent cx="5334000" cy="3588373"/>
            <wp:effectExtent b="0" l="0" r="0" t="0"/>
            <wp:docPr descr="Classification in Remote Sensing" title="" id="72" name="Picture"/>
            <a:graphic>
              <a:graphicData uri="http://schemas.openxmlformats.org/drawingml/2006/picture">
                <pic:pic>
                  <pic:nvPicPr>
                    <pic:cNvPr descr="./images/MindMap.png" id="73" name="Picture"/>
                    <pic:cNvPicPr>
                      <a:picLocks noChangeArrowheads="1" noChangeAspect="1"/>
                    </pic:cNvPicPr>
                  </pic:nvPicPr>
                  <pic:blipFill>
                    <a:blip r:embed="rId71"/>
                    <a:stretch>
                      <a:fillRect/>
                    </a:stretch>
                  </pic:blipFill>
                  <pic:spPr bwMode="auto">
                    <a:xfrm>
                      <a:off x="0" y="0"/>
                      <a:ext cx="5334000" cy="3588373"/>
                    </a:xfrm>
                    <a:prstGeom prst="rect">
                      <a:avLst/>
                    </a:prstGeom>
                    <a:noFill/>
                    <a:ln w="9525">
                      <a:noFill/>
                      <a:headEnd/>
                      <a:tailEnd/>
                    </a:ln>
                  </pic:spPr>
                </pic:pic>
              </a:graphicData>
            </a:graphic>
          </wp:inline>
        </w:drawing>
      </w:r>
      <w:bookmarkEnd w:id="74"/>
    </w:p>
    <w:bookmarkStart w:id="75" w:name="data"/>
    <w:p>
      <w:pPr>
        <w:pStyle w:val="Heading3"/>
      </w:pPr>
      <w:r>
        <w:t xml:space="preserve">7.1.1 Data</w:t>
      </w:r>
    </w:p>
    <w:p>
      <w:pPr>
        <w:numPr>
          <w:ilvl w:val="0"/>
          <w:numId w:val="1013"/>
        </w:numPr>
      </w:pPr>
      <w:r>
        <w:t xml:space="preserve">Surface Reflectance (SR)</w:t>
      </w:r>
    </w:p>
    <w:p>
      <w:pPr>
        <w:numPr>
          <w:ilvl w:val="0"/>
          <w:numId w:val="1013"/>
        </w:numPr>
      </w:pPr>
      <w:r>
        <w:t xml:space="preserve">Top of Atmosphere (TOA)</w:t>
      </w:r>
    </w:p>
    <w:p>
      <w:pPr>
        <w:pStyle w:val="FirstParagraph"/>
      </w:pPr>
      <w:r>
        <w:t xml:space="preserve">A mixed way of doing urban recognition</w:t>
      </w:r>
    </w:p>
    <w:bookmarkEnd w:id="75"/>
    <w:bookmarkStart w:id="76" w:name="obia-object-based-image-analysis"/>
    <w:p>
      <w:pPr>
        <w:pStyle w:val="Heading3"/>
      </w:pPr>
      <w:r>
        <w:t xml:space="preserve">7.1.2 OBIA (object-based image analysis)</w:t>
      </w:r>
    </w:p>
    <w:p>
      <w:pPr>
        <w:pStyle w:val="FirstParagraph"/>
      </w:pPr>
      <w:r>
        <w:t xml:space="preserve">Instead of a per-pixel approach, we adopt an object-based image analysis (OBIA), where you have to manually create objects.</w:t>
      </w:r>
    </w:p>
    <w:p>
      <w:pPr>
        <w:pStyle w:val="BodyText"/>
      </w:pPr>
      <w:r>
        <w:t xml:space="preserve">SLIC (</w:t>
      </w:r>
      <w:r>
        <w:rPr>
          <w:iCs/>
          <w:i/>
          <w:bCs/>
          <w:b/>
        </w:rPr>
        <w:t xml:space="preserve">Simple Linear Iterative Clustering</w:t>
      </w:r>
      <w:r>
        <w:t xml:space="preserve">) (2012): No ground truth</w:t>
      </w:r>
    </w:p>
    <w:p>
      <w:pPr>
        <w:pStyle w:val="BodyText"/>
      </w:pPr>
      <w:r>
        <w:t xml:space="preserve">Descent, similarity (Homogeneity)</w:t>
      </w:r>
    </w:p>
    <w:bookmarkEnd w:id="76"/>
    <w:bookmarkStart w:id="78" w:name="sub-pixel-analysis"/>
    <w:p>
      <w:pPr>
        <w:pStyle w:val="Heading3"/>
      </w:pPr>
      <w:r>
        <w:t xml:space="preserve">7.1.3 Sub-pixel analysis</w:t>
      </w:r>
    </w:p>
    <w:p>
      <w:pPr>
        <w:pStyle w:val="FirstParagraph"/>
      </w:pPr>
      <w:r>
        <w:t xml:space="preserve">SMA (Spectral maximum analysis), SPC, LSU</w:t>
      </w:r>
    </w:p>
    <w:p>
      <w:pPr>
        <w:pStyle w:val="BodyText"/>
      </w:pPr>
      <w:r>
        <w:t xml:space="preserve">Through a series of manipulation of material, we acquire a list describing the broken-down land cover of that pixel</w:t>
      </w:r>
    </w:p>
    <w:bookmarkStart w:id="77" w:name="pixel-purity"/>
    <w:p>
      <w:pPr>
        <w:pStyle w:val="Heading4"/>
      </w:pPr>
      <w:r>
        <w:t xml:space="preserve">7.1.3.1 Pixel purity</w:t>
      </w:r>
    </w:p>
    <w:p>
      <w:pPr>
        <w:pStyle w:val="FirstParagraph"/>
      </w:pPr>
      <w:r>
        <w:rPr>
          <w:bCs/>
          <w:b/>
        </w:rPr>
        <w:t xml:space="preserve">Endmember</w:t>
      </w:r>
      <w:r>
        <w:t xml:space="preserve">: an important concept in spectral mixture analysis</w:t>
      </w:r>
    </w:p>
    <w:p>
      <w:pPr>
        <w:pStyle w:val="BodyText"/>
      </w:pPr>
      <w:r>
        <w:t xml:space="preserve">In remote sensing, an end member refers to a pure or nearly pure material or component that is present within a mixed pixel.</w:t>
      </w:r>
    </w:p>
    <w:p>
      <w:pPr>
        <w:pStyle w:val="BodyText"/>
      </w:pPr>
      <w:r>
        <w:t xml:space="preserve">In spectral mixture analysis, the spectral signature of a mixed pixel is modelled as a linear combination of the spectral signatures of the constituent endmembers, with each end member being assigned a proportion or fraction that represents its contribution to the overall reflectance or radiance of the mixed pixel.</w:t>
      </w:r>
    </w:p>
    <w:bookmarkEnd w:id="77"/>
    <w:bookmarkEnd w:id="78"/>
    <w:bookmarkStart w:id="79" w:name="accuracy-assessment"/>
    <w:p>
      <w:pPr>
        <w:pStyle w:val="Heading3"/>
      </w:pPr>
      <w:r>
        <w:t xml:space="preserve">7.1.4 Accuracy assessment</w:t>
      </w:r>
    </w:p>
    <w:p>
      <w:pPr>
        <w:numPr>
          <w:ilvl w:val="0"/>
          <w:numId w:val="1014"/>
        </w:numPr>
      </w:pPr>
      <w:r>
        <w:t xml:space="preserve">Producer accuracy: Recall</w:t>
      </w:r>
    </w:p>
    <w:p>
      <w:pPr>
        <w:numPr>
          <w:ilvl w:val="0"/>
          <w:numId w:val="1014"/>
        </w:numPr>
      </w:pPr>
      <w:r>
        <w:t xml:space="preserve">User’s accuracy: Precision</w:t>
      </w:r>
    </w:p>
    <w:p>
      <w:pPr>
        <w:numPr>
          <w:ilvl w:val="0"/>
          <w:numId w:val="1014"/>
        </w:numPr>
      </w:pPr>
      <w:r>
        <w:t xml:space="preserve">Overall accuracy: not equivalent to F1</w:t>
      </w:r>
    </w:p>
    <w:p>
      <w:pPr>
        <w:numPr>
          <w:ilvl w:val="0"/>
          <w:numId w:val="1014"/>
        </w:numPr>
      </w:pPr>
      <w:r>
        <w:t xml:space="preserve">Kappa coefficient: [0, 1], measures how good the classification is compared to random distribution e.g. Poisson. Different interpretations of this metric, problematic</w:t>
      </w:r>
    </w:p>
    <w:p>
      <w:pPr>
        <w:pStyle w:val="FirstParagraph"/>
      </w:pPr>
      <w:r>
        <w:t xml:space="preserve">Make a tradeoff between Producer accuracy and User accuracy, by shifting the decision boundary.</w:t>
      </w:r>
    </w:p>
    <w:p>
      <w:pPr>
        <w:numPr>
          <w:ilvl w:val="0"/>
          <w:numId w:val="1015"/>
        </w:numPr>
      </w:pPr>
      <w:r>
        <w:t xml:space="preserve">F1: issue: TN not considered; Recall and precision are not equally important yet equally weighted in F1</w:t>
      </w:r>
    </w:p>
    <w:p>
      <w:pPr>
        <w:numPr>
          <w:ilvl w:val="0"/>
          <w:numId w:val="1015"/>
        </w:numPr>
      </w:pPr>
      <w:r>
        <w:t xml:space="preserve">Receiver Operating Characteristic Curve: True positive rate and false positive rate are all good. We want to maximise the area under the curve in a True positive rate vs false positive rate plot.</w:t>
      </w:r>
    </w:p>
    <w:bookmarkEnd w:id="79"/>
    <w:bookmarkStart w:id="84" w:name="workflow"/>
    <w:p>
      <w:pPr>
        <w:pStyle w:val="Heading3"/>
      </w:pPr>
      <w:r>
        <w:t xml:space="preserve">7.1.5 Workflow</w:t>
      </w:r>
    </w:p>
    <w:p>
      <w:pPr>
        <w:numPr>
          <w:ilvl w:val="0"/>
          <w:numId w:val="1016"/>
        </w:numPr>
      </w:pPr>
      <w:r>
        <w:t xml:space="preserve">(Potentially use unsupervised classification to understand your data</w:t>
      </w:r>
    </w:p>
    <w:p>
      <w:pPr>
        <w:numPr>
          <w:ilvl w:val="0"/>
          <w:numId w:val="1016"/>
        </w:numPr>
      </w:pPr>
      <w:r>
        <w:t xml:space="preserve">Class definition (Potentially use unsupervised classification)</w:t>
      </w:r>
    </w:p>
    <w:p>
      <w:pPr>
        <w:numPr>
          <w:ilvl w:val="0"/>
          <w:numId w:val="1016"/>
        </w:numPr>
      </w:pPr>
      <w:r>
        <w:t xml:space="preserve">Preprocessing</w:t>
      </w:r>
    </w:p>
    <w:p>
      <w:pPr>
        <w:numPr>
          <w:ilvl w:val="0"/>
          <w:numId w:val="1016"/>
        </w:numPr>
      </w:pPr>
      <w:r>
        <w:t xml:space="preserve">Training</w:t>
      </w:r>
    </w:p>
    <w:p>
      <w:pPr>
        <w:numPr>
          <w:ilvl w:val="0"/>
          <w:numId w:val="1016"/>
        </w:numPr>
      </w:pPr>
      <w:r>
        <w:t xml:space="preserve">Pixel Assignment</w:t>
      </w:r>
    </w:p>
    <w:p>
      <w:pPr>
        <w:numPr>
          <w:ilvl w:val="0"/>
          <w:numId w:val="1016"/>
        </w:numPr>
      </w:pPr>
      <w:r>
        <w:t xml:space="preserve">Accuracy assessment</w:t>
      </w:r>
    </w:p>
    <w:p>
      <w:pPr>
        <w:pStyle w:val="FirstParagraph"/>
      </w:pPr>
      <w:r>
        <w:t xml:space="preserve">Pseudo-invariant features to be trained on to make your model robust to time-space changes</w:t>
      </w:r>
    </w:p>
    <w:p>
      <w:pPr>
        <w:pStyle w:val="BodyText"/>
      </w:pPr>
      <w:r>
        <w:t xml:space="preserve">Pseudo-invariant features are often used as reference targets or calibration sites in remote sensing to account for changes in sensor or atmospheric conditions and to reduce the effects of noise and calibration drift on image data. These features have relatively constant spectral properties over time and space, and can therefore serve as a stable reference for monitoring changes in other features or materials within an image or scene.</w:t>
      </w:r>
    </w:p>
    <w:p>
      <w:pPr>
        <w:pStyle w:val="BodyText"/>
      </w:pPr>
      <w:r>
        <w:t xml:space="preserve">A flow chart can be seen in</w:t>
      </w:r>
      <w:r>
        <w:t xml:space="preserve"> </w:t>
      </w:r>
      <w:hyperlink w:anchor="fig-flowchart">
        <w:r>
          <w:rPr>
            <w:rStyle w:val="Hyperlink"/>
          </w:rPr>
          <w:t xml:space="preserve">Figure 7.1</w:t>
        </w:r>
      </w:hyperlink>
      <w:r>
        <w:t xml:space="preserve"> </w:t>
      </w:r>
      <w:r>
        <w:t xml:space="preserve">:</w:t>
      </w:r>
    </w:p>
    <w:tbl>
      <w:tblPr>
        <w:tblStyle w:val="Table"/>
        <w:tblW w:type="pct" w:w="5000"/>
        <w:tblLook w:firstRow="0" w:lastRow="0" w:firstColumn="0" w:lastColumn="0" w:noHBand="0" w:noVBand="0" w:val="0000"/>
      </w:tblPr>
      <w:tblGrid>
        <w:gridCol w:w="7920"/>
      </w:tblGrid>
      <w:tr>
        <w:tc>
          <w:tcPr/>
          <w:bookmarkStart w:id="83" w:name="fig-flowchart"/>
          <w:p>
            <w:pPr>
              <w:pStyle w:val="Figure"/>
              <w:jc w:val="center"/>
            </w:pPr>
            <w:r>
              <w:drawing>
                <wp:inline>
                  <wp:extent cx="5334000" cy="9684734"/>
                  <wp:effectExtent b="0" l="0" r="0" t="0"/>
                  <wp:docPr descr="" title="" id="81" name="Picture"/>
                  <a:graphic>
                    <a:graphicData uri="http://schemas.openxmlformats.org/drawingml/2006/picture">
                      <pic:pic>
                        <pic:nvPicPr>
                          <pic:cNvPr descr="./images/FlowChart.png" id="82" name="Picture"/>
                          <pic:cNvPicPr>
                            <a:picLocks noChangeArrowheads="1" noChangeAspect="1"/>
                          </pic:cNvPicPr>
                        </pic:nvPicPr>
                        <pic:blipFill>
                          <a:blip r:embed="rId80"/>
                          <a:stretch>
                            <a:fillRect/>
                          </a:stretch>
                        </pic:blipFill>
                        <pic:spPr bwMode="auto">
                          <a:xfrm>
                            <a:off x="0" y="0"/>
                            <a:ext cx="5334000" cy="96847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Classification Workflow, courtesy: myself</w:t>
            </w:r>
          </w:p>
          <w:bookmarkEnd w:id="83"/>
        </w:tc>
      </w:tr>
    </w:tbl>
    <w:bookmarkEnd w:id="84"/>
    <w:bookmarkStart w:id="86" w:name="X21c006f554c245b4c08edf3b2e92c3bcece0970"/>
    <w:p>
      <w:pPr>
        <w:pStyle w:val="Heading3"/>
      </w:pPr>
      <w:r>
        <w:t xml:space="preserve">7.1.6 A</w:t>
      </w:r>
      <w:r>
        <w:t xml:space="preserve"> </w:t>
      </w:r>
      <w:r>
        <w:t xml:space="preserve">“</w:t>
      </w:r>
      <w:r>
        <w:t xml:space="preserve">Sneak preview</w:t>
      </w:r>
      <w:r>
        <w:t xml:space="preserve">”</w:t>
      </w:r>
      <w:r>
        <w:t xml:space="preserve"> </w:t>
      </w:r>
      <w:r>
        <w:t xml:space="preserve">(Analogous to Data Leakage in ML)</w:t>
      </w:r>
    </w:p>
    <w:p>
      <w:pPr>
        <w:pStyle w:val="FirstParagraph"/>
      </w:pPr>
      <w:r>
        <w:t xml:space="preserve">Waldo Tobler’s first law of geography indicates that if training and testing are spatially close, the training can cause the problem of a sneak preview.</w:t>
      </w:r>
    </w:p>
    <w:bookmarkStart w:id="85" w:name="spatial-cross-validation"/>
    <w:p>
      <w:pPr>
        <w:pStyle w:val="Heading4"/>
      </w:pPr>
      <w:r>
        <w:t xml:space="preserve">7.1.6.1 Spatial Cross Validation</w:t>
      </w:r>
    </w:p>
    <w:p>
      <w:pPr>
        <w:pStyle w:val="FirstParagraph"/>
      </w:pPr>
      <w:r>
        <w:t xml:space="preserve">Similar to cross-validation but adds clustering to folds.</w:t>
      </w:r>
    </w:p>
    <w:p>
      <w:pPr>
        <w:pStyle w:val="BodyText"/>
      </w:pPr>
      <w:r>
        <w:t xml:space="preserve">In spatial cross-validation, the data are split into spatially contiguous blocks or subsets, rather than randomly shuffled subsets as in traditional cross-validation. This is done to ensure that the model is tested on data that are spatially distinct from the data used to train the model and to account for spatial autocorrelation and other spatial dependencies in the data.</w:t>
      </w:r>
    </w:p>
    <w:bookmarkEnd w:id="85"/>
    <w:bookmarkEnd w:id="86"/>
    <w:bookmarkStart w:id="87" w:name="Xf0a48a4a93cee088f6011d1480b3264f12f57e8"/>
    <w:p>
      <w:pPr>
        <w:pStyle w:val="Heading3"/>
      </w:pPr>
      <w:r>
        <w:t xml:space="preserve">7.1.7 Approaches to deal with Spatial Autocorrelation</w:t>
      </w:r>
    </w:p>
    <w:p>
      <w:pPr>
        <w:pStyle w:val="FirstParagraph"/>
      </w:pPr>
      <w:r>
        <w:t xml:space="preserve">Object-based image classification</w:t>
      </w:r>
    </w:p>
    <w:p>
      <w:pPr>
        <w:pStyle w:val="BodyText"/>
      </w:pPr>
      <w:r>
        <w:t xml:space="preserve">Moran’s I (Spatial Cross Validation)</w:t>
      </w:r>
    </w:p>
    <w:bookmarkEnd w:id="87"/>
    <w:bookmarkEnd w:id="88"/>
    <w:bookmarkStart w:id="89" w:name="application---to-be-completed"/>
    <w:p>
      <w:pPr>
        <w:pStyle w:val="Heading2"/>
      </w:pPr>
      <w:r>
        <w:t xml:space="preserve">7.2 Application - to be completed</w:t>
      </w:r>
    </w:p>
    <w:p>
      <w:pPr>
        <w:pStyle w:val="FirstParagraph"/>
      </w:pPr>
      <w:r>
        <w:t xml:space="preserve">In remote sensing, it is often challenging to accurately classify mixed pixels, which contain a combination of different materials or components. Endmembers refer to pure or nearly pure materials that are present within a mixed pixel. By modelling the spectral signature of a mixed pixel as a linear combination of the spectral signatures of the constituent endmembers, we can determine the contribution of each endmember to the overall reflectance or radiance of the mixed pixel.</w:t>
      </w:r>
    </w:p>
    <w:p>
      <w:pPr>
        <w:pStyle w:val="BodyText"/>
      </w:pPr>
      <w:r>
        <w:t xml:space="preserve">This approach can be very useful in urban recognition, where it is essential to accurately classify the different land covers present within a pixel. Furthermore, it can also help us to understand the composition of the land cover in a given area, which can have important implications for environmental monitoring and management. This approach has been applied in various studies to estimate urban land cover, such as the work by Zhang et al. (2018) that utilised endmember extraction to detect urban impervious surfaces.</w:t>
      </w:r>
    </w:p>
    <w:bookmarkEnd w:id="89"/>
    <w:bookmarkStart w:id="90" w:name="reflection-3"/>
    <w:p>
      <w:pPr>
        <w:pStyle w:val="Heading2"/>
      </w:pPr>
      <w:r>
        <w:t xml:space="preserve">7.3 Reflection</w:t>
      </w:r>
    </w:p>
    <w:p>
      <w:pPr>
        <w:pStyle w:val="FirstParagraph"/>
      </w:pPr>
      <w:r>
        <w:t xml:space="preserve">The workflow of Classification of Surface Reflectance and Top of Atmosphere data intrigues me, as it differs from, yet shares certain features with traditional computer vision tasks like image classification and object detection (in regards of treating pixels as objects/units). Alternatively, Surface Reflectance Classification can be treated as a downstream task for both aforementioned ML tasks, due to its uniqueness in dealing with high-precision satellite data and unseparability (worth debating) from EO processing workflow (calibration etc.). Also, uncertainty of classification genres derived from unsupervised labelling can also be an issue.</w:t>
      </w:r>
    </w:p>
    <w:p>
      <w:pPr>
        <w:pStyle w:val="BodyText"/>
      </w:pPr>
      <w:r>
        <w:t xml:space="preserve">Optionally, in supplementation to manual labelling, automated labelling workflow (e.g. roboflow) can be introduced to curtail repeatitive works in image labelling</w:t>
      </w:r>
      <w:r>
        <w:t xml:space="preserve">(Nair, Paul, and Jacob 2018)</w:t>
      </w:r>
      <w:r>
        <w:t xml:space="preserve">. However, manual labelling is not replaceable at current time</w:t>
      </w:r>
      <w:r>
        <w:t xml:space="preserve"> </w:t>
      </w:r>
      <w:r>
        <w:t xml:space="preserve">(Robison 2018)</w:t>
      </w:r>
      <w:r>
        <w:t xml:space="preserve"> </w:t>
      </w:r>
      <w:r>
        <w:t xml:space="preserve">and the pinning down of ground truth seems to always need human intervention in addition to machine automation.</w:t>
      </w:r>
    </w:p>
    <w:p>
      <w:pPr>
        <w:pStyle w:val="BodyText"/>
      </w:pPr>
      <w:r>
        <w:t xml:space="preserve">The introduction of production accuracy and user accuracy is also interesting, as these terminologies are designed presupposing a customer/producer split, dwarfing precision-recall in readability. The treadeoff to be made between the two is crucial, and this is problematically handled by introducing F1 score with two competitive components, and improved by introducing Receiver Operating Characteristic Curve (ROCC) with two</w:t>
      </w:r>
      <w:r>
        <w:t xml:space="preserve"> </w:t>
      </w:r>
      <w:r>
        <w:t xml:space="preserve">“</w:t>
      </w:r>
      <w:r>
        <w:t xml:space="preserve">good</w:t>
      </w:r>
      <w:r>
        <w:t xml:space="preserve">”</w:t>
      </w:r>
      <w:r>
        <w:t xml:space="preserve"> </w:t>
      </w:r>
      <w:r>
        <w:t xml:space="preserve">indicators, true positive rate and false positive rate.</w:t>
      </w:r>
    </w:p>
    <w:bookmarkEnd w:id="90"/>
    <w:bookmarkEnd w:id="91"/>
    <w:bookmarkStart w:id="92" w:name="section-1"/>
    <w:p>
      <w:pPr>
        <w:pStyle w:val="Heading1"/>
      </w:pPr>
      <w:r>
        <w:t xml:space="preserve">8. </w:t>
      </w:r>
    </w:p>
    <w:bookmarkEnd w:id="92"/>
    <w:bookmarkStart w:id="109" w:name="week8---temperature-and-policy"/>
    <w:p>
      <w:pPr>
        <w:pStyle w:val="Heading1"/>
      </w:pPr>
      <w:r>
        <w:t xml:space="preserve">9. Week8 - T</w:t>
      </w:r>
      <w:r>
        <w:rPr>
          <w:bCs/>
          <w:b/>
        </w:rPr>
        <w:t xml:space="preserve">emperature and Policy</w:t>
      </w:r>
    </w:p>
    <w:p>
      <w:pPr>
        <w:pStyle w:val="FirstParagraph"/>
      </w:pPr>
      <w:r>
        <w:t xml:space="preserve">The</w:t>
      </w:r>
      <w:r>
        <w:t xml:space="preserve"> </w:t>
      </w:r>
      <w:r>
        <w:t xml:space="preserve">“</w:t>
      </w:r>
      <w:r>
        <w:t xml:space="preserve">policy</w:t>
      </w:r>
      <w:r>
        <w:t xml:space="preserve">”</w:t>
      </w:r>
      <w:r>
        <w:t xml:space="preserve"> </w:t>
      </w:r>
      <w:r>
        <w:t xml:space="preserve">section occupies two weeks, mainly trying to introduce how to fit EO data workflow into current policies. To do this, you have to identify the gaps, e.g., that between the overarching global policies, metropolitan plans and local plans. Or, the gap within policies like missing locations in the Singapore one.</w:t>
      </w:r>
    </w:p>
    <w:bookmarkStart w:id="99" w:name="summary-5"/>
    <w:p>
      <w:pPr>
        <w:pStyle w:val="Heading2"/>
      </w:pPr>
      <w:r>
        <w:t xml:space="preserve">9.1 Summary</w:t>
      </w:r>
    </w:p>
    <w:bookmarkStart w:id="98" w:name="Xf1601bdf9a6da49f4bf579e5c88a25b27663356"/>
    <w:p>
      <w:pPr>
        <w:pStyle w:val="Heading3"/>
      </w:pPr>
      <w:r>
        <w:t xml:space="preserve">9.1.1 Urban Heating Islands (UHI) problem and plans</w:t>
      </w:r>
    </w:p>
    <w:bookmarkStart w:id="93" w:name="causes"/>
    <w:p>
      <w:pPr>
        <w:pStyle w:val="Heading4"/>
      </w:pPr>
      <w:r>
        <w:t xml:space="preserve">9.1.1.1 Causes</w:t>
      </w:r>
    </w:p>
    <w:p>
      <w:pPr>
        <w:pStyle w:val="FirstParagraph"/>
      </w:pPr>
      <w:r>
        <w:t xml:space="preserve">Urban areas have comparatively higher atmospheric and surface temperatures than surrounding rural areas, mainly due to</w:t>
      </w:r>
    </w:p>
    <w:p>
      <w:pPr>
        <w:numPr>
          <w:ilvl w:val="0"/>
          <w:numId w:val="1017"/>
        </w:numPr>
        <w:pStyle w:val="Compact"/>
      </w:pPr>
      <w:r>
        <w:t xml:space="preserve">More dark surfaces that retain heat</w:t>
      </w:r>
    </w:p>
    <w:p>
      <w:pPr>
        <w:numPr>
          <w:ilvl w:val="0"/>
          <w:numId w:val="1017"/>
        </w:numPr>
        <w:pStyle w:val="Compact"/>
      </w:pPr>
      <w:r>
        <w:t xml:space="preserve">Less vegetation that cools the environment</w:t>
      </w:r>
    </w:p>
    <w:p>
      <w:pPr>
        <w:pStyle w:val="FirstParagraph"/>
      </w:pPr>
      <w:r>
        <w:t xml:space="preserve">Also, there are other contributors to the heat:</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Contributor</w:t>
            </w:r>
          </w:p>
        </w:tc>
        <w:tc>
          <w:tcPr/>
          <w:p>
            <w:pPr>
              <w:pStyle w:val="Compact"/>
              <w:jc w:val="left"/>
            </w:pPr>
            <w:r>
              <w:t xml:space="preserve">Correlation with UHI phenomenon</w:t>
            </w:r>
          </w:p>
        </w:tc>
      </w:tr>
      <w:tr>
        <w:tc>
          <w:tcPr/>
          <w:p>
            <w:pPr>
              <w:pStyle w:val="Compact"/>
              <w:jc w:val="left"/>
            </w:pPr>
            <w:r>
              <w:t xml:space="preserve">Sky View Factor (SVF)</w:t>
            </w:r>
          </w:p>
        </w:tc>
        <w:tc>
          <w:tcPr/>
          <w:p>
            <w:pPr>
              <w:pStyle w:val="Compact"/>
              <w:jc w:val="left"/>
            </w:pPr>
            <w:r>
              <w:t xml:space="preserve">Positive</w:t>
            </w:r>
          </w:p>
        </w:tc>
      </w:tr>
      <w:tr>
        <w:tc>
          <w:tcPr/>
          <w:p>
            <w:pPr>
              <w:pStyle w:val="Compact"/>
              <w:jc w:val="left"/>
            </w:pPr>
            <w:r>
              <w:t xml:space="preserve">Air speed</w:t>
            </w:r>
          </w:p>
        </w:tc>
        <w:tc>
          <w:tcPr/>
          <w:p>
            <w:pPr>
              <w:pStyle w:val="Compact"/>
              <w:jc w:val="left"/>
            </w:pPr>
            <w:r>
              <w:t xml:space="preserve">Negative</w:t>
            </w:r>
          </w:p>
        </w:tc>
      </w:tr>
      <w:tr>
        <w:tc>
          <w:tcPr/>
          <w:p>
            <w:pPr>
              <w:pStyle w:val="Compact"/>
              <w:jc w:val="left"/>
            </w:pPr>
            <w:r>
              <w:t xml:space="preserve">Heavy cloud cover</w:t>
            </w:r>
          </w:p>
        </w:tc>
        <w:tc>
          <w:tcPr/>
          <w:p>
            <w:pPr>
              <w:pStyle w:val="Compact"/>
              <w:jc w:val="left"/>
            </w:pPr>
            <w:r>
              <w:t xml:space="preserve">Positive</w:t>
            </w:r>
          </w:p>
        </w:tc>
      </w:tr>
      <w:tr>
        <w:tc>
          <w:tcPr/>
          <w:p>
            <w:pPr>
              <w:pStyle w:val="Compact"/>
              <w:jc w:val="left"/>
            </w:pPr>
            <w:r>
              <w:t xml:space="preserve">Cyclic solar radiation</w:t>
            </w:r>
          </w:p>
        </w:tc>
        <w:tc>
          <w:tcPr/>
          <w:p>
            <w:pPr>
              <w:pStyle w:val="Compact"/>
              <w:jc w:val="left"/>
            </w:pPr>
            <w:r>
              <w:t xml:space="preserve">Positive</w:t>
            </w:r>
          </w:p>
        </w:tc>
      </w:tr>
      <w:tr>
        <w:tc>
          <w:tcPr/>
          <w:p>
            <w:pPr>
              <w:pStyle w:val="Compact"/>
              <w:jc w:val="left"/>
            </w:pPr>
            <w:r>
              <w:t xml:space="preserve">Building material type</w:t>
            </w:r>
          </w:p>
        </w:tc>
        <w:tc>
          <w:tcPr/>
          <w:p>
            <w:pPr>
              <w:pStyle w:val="Compact"/>
              <w:jc w:val="left"/>
            </w:pPr>
            <w:r>
              <w:t xml:space="preserve">Varies</w:t>
            </w:r>
          </w:p>
        </w:tc>
      </w:tr>
      <w:tr>
        <w:tc>
          <w:tcPr/>
          <w:p>
            <w:pPr>
              <w:pStyle w:val="Compact"/>
              <w:jc w:val="left"/>
            </w:pPr>
            <w:r>
              <w:t xml:space="preserve">Anthropogenic energy</w:t>
            </w:r>
          </w:p>
        </w:tc>
        <w:tc>
          <w:tcPr/>
          <w:p>
            <w:pPr>
              <w:pStyle w:val="Compact"/>
              <w:jc w:val="left"/>
            </w:pPr>
            <w:r>
              <w:t xml:space="preserve">Positive</w:t>
            </w:r>
          </w:p>
        </w:tc>
      </w:tr>
    </w:tbl>
    <w:bookmarkEnd w:id="93"/>
    <w:bookmarkStart w:id="94" w:name="cost"/>
    <w:p>
      <w:pPr>
        <w:pStyle w:val="Heading4"/>
      </w:pPr>
      <w:r>
        <w:t xml:space="preserve">9.1.1.2 Cost</w:t>
      </w:r>
    </w:p>
    <w:p>
      <w:pPr>
        <w:pStyle w:val="FirstParagraph"/>
      </w:pPr>
      <w:r>
        <w:t xml:space="preserve">The cost of the Urban Heat Island can be divided into social, environmental, and economic costs.</w:t>
      </w:r>
    </w:p>
    <w:tbl>
      <w:tblPr>
        <w:tblStyle w:val="Table"/>
        <w:tblW w:type="pct" w:w="5000"/>
        <w:tblLook w:firstRow="1" w:lastRow="0" w:firstColumn="0" w:lastColumn="0" w:noHBand="0" w:noVBand="0" w:val="0020"/>
      </w:tblPr>
      <w:tblGrid>
        <w:gridCol w:w="1933"/>
        <w:gridCol w:w="5986"/>
      </w:tblGrid>
      <w:tr>
        <w:trPr>
          <w:tblHeader w:val="true"/>
        </w:trPr>
        <w:tc>
          <w:tcPr/>
          <w:p>
            <w:pPr>
              <w:pStyle w:val="Compact"/>
              <w:jc w:val="left"/>
            </w:pPr>
            <w:r>
              <w:t xml:space="preserve">Type of Cost</w:t>
            </w:r>
          </w:p>
        </w:tc>
        <w:tc>
          <w:tcPr/>
          <w:p>
            <w:pPr>
              <w:pStyle w:val="Compact"/>
              <w:jc w:val="left"/>
            </w:pPr>
            <w:r>
              <w:t xml:space="preserve">Examples</w:t>
            </w:r>
          </w:p>
        </w:tc>
      </w:tr>
      <w:tr>
        <w:tc>
          <w:tcPr/>
          <w:p>
            <w:pPr>
              <w:pStyle w:val="Compact"/>
              <w:jc w:val="left"/>
            </w:pPr>
            <w:r>
              <w:t xml:space="preserve">Social Costs</w:t>
            </w:r>
          </w:p>
        </w:tc>
        <w:tc>
          <w:tcPr/>
          <w:p>
            <w:pPr>
              <w:pStyle w:val="Compact"/>
              <w:jc w:val="left"/>
            </w:pPr>
            <w:r>
              <w:t xml:space="preserve">Population-adjusted excess mortality rates, heat-related deaths</w:t>
            </w:r>
          </w:p>
        </w:tc>
      </w:tr>
      <w:tr>
        <w:tc>
          <w:tcPr/>
          <w:p>
            <w:pPr>
              <w:pStyle w:val="Compact"/>
              <w:jc w:val="left"/>
            </w:pPr>
            <w:r>
              <w:t xml:space="preserve">Environmental Costs</w:t>
            </w:r>
          </w:p>
        </w:tc>
        <w:tc>
          <w:tcPr/>
          <w:p>
            <w:pPr>
              <w:pStyle w:val="Compact"/>
              <w:jc w:val="left"/>
            </w:pPr>
            <w:r>
              <w:t xml:space="preserve">Increase in fossil fuel usage</w:t>
            </w:r>
          </w:p>
        </w:tc>
      </w:tr>
      <w:tr>
        <w:tc>
          <w:tcPr/>
          <w:p>
            <w:pPr>
              <w:pStyle w:val="Compact"/>
              <w:jc w:val="left"/>
            </w:pPr>
            <w:r>
              <w:t xml:space="preserve">Economic Costs</w:t>
            </w:r>
          </w:p>
        </w:tc>
        <w:tc>
          <w:tcPr/>
          <w:p>
            <w:pPr>
              <w:pStyle w:val="Compact"/>
              <w:jc w:val="left"/>
            </w:pPr>
            <w:r>
              <w:t xml:space="preserve">Loss of Gross Domestic Product (GDP)</w:t>
            </w:r>
          </w:p>
        </w:tc>
      </w:tr>
    </w:tbl>
    <w:p>
      <w:pPr>
        <w:pStyle w:val="BodyText"/>
      </w:pPr>
      <w:r>
        <w:t xml:space="preserve">For instance, under a low greenhouse gas scenario, the percent GDP lost from UHI is estimated to be 0.71% in 2050.</w:t>
      </w:r>
    </w:p>
    <w:bookmarkEnd w:id="94"/>
    <w:bookmarkStart w:id="97" w:name="plans"/>
    <w:p>
      <w:pPr>
        <w:pStyle w:val="Heading4"/>
      </w:pPr>
      <w:r>
        <w:t xml:space="preserve">9.1.1.3 Plans</w:t>
      </w:r>
    </w:p>
    <w:bookmarkStart w:id="95" w:name="global"/>
    <w:p>
      <w:pPr>
        <w:pStyle w:val="Heading5"/>
      </w:pPr>
      <w:r>
        <w:t xml:space="preserve">9.1.1.3.1 Global</w:t>
      </w:r>
    </w:p>
    <w:bookmarkEnd w:id="95"/>
    <w:bookmarkStart w:id="96" w:name="local"/>
    <w:p>
      <w:pPr>
        <w:pStyle w:val="Heading5"/>
      </w:pPr>
      <w:r>
        <w:t xml:space="preserve">9.1.1.3.2 Local</w:t>
      </w:r>
    </w:p>
    <w:tbl>
      <w:tblPr>
        <w:tblStyle w:val="Table"/>
        <w:tblW w:type="pct" w:w="5000"/>
        <w:tblLook w:firstRow="1" w:lastRow="0" w:firstColumn="0" w:lastColumn="0" w:noHBand="0" w:noVBand="0" w:val="0020"/>
      </w:tblPr>
      <w:tblGrid>
        <w:gridCol w:w="670"/>
        <w:gridCol w:w="2741"/>
        <w:gridCol w:w="4508"/>
      </w:tblGrid>
      <w:tr>
        <w:trPr>
          <w:tblHeader w:val="true"/>
        </w:trPr>
        <w:tc>
          <w:tcPr/>
          <w:p>
            <w:pPr>
              <w:pStyle w:val="Compact"/>
              <w:jc w:val="left"/>
            </w:pPr>
            <w:r>
              <w:t xml:space="preserve">City</w:t>
            </w:r>
          </w:p>
        </w:tc>
        <w:tc>
          <w:tcPr/>
          <w:p>
            <w:pPr>
              <w:pStyle w:val="Compact"/>
              <w:jc w:val="left"/>
            </w:pPr>
            <w:r>
              <w:t xml:space="preserve">Initiatives</w:t>
            </w:r>
          </w:p>
        </w:tc>
        <w:tc>
          <w:tcPr/>
          <w:p>
            <w:pPr>
              <w:pStyle w:val="Compact"/>
              <w:jc w:val="left"/>
            </w:pPr>
            <w:r>
              <w:t xml:space="preserve">Technology</w:t>
            </w:r>
          </w:p>
        </w:tc>
      </w:tr>
      <w:tr>
        <w:tc>
          <w:tcPr/>
          <w:p>
            <w:pPr>
              <w:pStyle w:val="Compact"/>
              <w:jc w:val="left"/>
            </w:pPr>
            <w:r>
              <w:t xml:space="preserve">Singapore</w:t>
            </w:r>
          </w:p>
        </w:tc>
        <w:tc>
          <w:tcPr/>
          <w:p>
            <w:pPr>
              <w:pStyle w:val="Compact"/>
              <w:jc w:val="left"/>
            </w:pPr>
            <w:r>
              <w:t xml:space="preserve">Green buildings</w:t>
            </w:r>
          </w:p>
        </w:tc>
        <w:tc>
          <w:tcPr/>
          <w:p>
            <w:pPr>
              <w:pStyle w:val="Compact"/>
              <w:jc w:val="left"/>
            </w:pPr>
            <w:r>
              <w:t xml:space="preserve">Urban greenery</w:t>
            </w:r>
          </w:p>
        </w:tc>
      </w:tr>
      <w:tr>
        <w:tc>
          <w:tcPr/>
          <w:p>
            <w:pPr>
              <w:pStyle w:val="Compact"/>
              <w:jc w:val="left"/>
            </w:pPr>
            <w:r>
              <w:t xml:space="preserve">Medellin</w:t>
            </w:r>
          </w:p>
        </w:tc>
        <w:tc>
          <w:tcPr/>
          <w:p>
            <w:pPr>
              <w:pStyle w:val="Compact"/>
              <w:jc w:val="left"/>
            </w:pPr>
            <w:r>
              <w:t xml:space="preserve">Green Corridors</w:t>
            </w:r>
          </w:p>
        </w:tc>
        <w:tc>
          <w:tcPr/>
          <w:p>
            <w:pPr>
              <w:pStyle w:val="Compact"/>
              <w:jc w:val="left"/>
            </w:pPr>
            <w:r>
              <w:t xml:space="preserve">Urban greenery</w:t>
            </w:r>
          </w:p>
        </w:tc>
      </w:tr>
      <w:tr>
        <w:tc>
          <w:tcPr/>
          <w:p>
            <w:pPr>
              <w:pStyle w:val="Compact"/>
              <w:jc w:val="left"/>
            </w:pPr>
            <w:r>
              <w:t xml:space="preserve">Sydney</w:t>
            </w:r>
          </w:p>
        </w:tc>
        <w:tc>
          <w:tcPr/>
          <w:p>
            <w:pPr>
              <w:pStyle w:val="Compact"/>
              <w:jc w:val="left"/>
            </w:pPr>
            <w:r>
              <w:t xml:space="preserve">Turn Down the Heat Strategy and Action Plan</w:t>
            </w:r>
          </w:p>
        </w:tc>
        <w:tc>
          <w:tcPr/>
          <w:p>
            <w:pPr>
              <w:pStyle w:val="Compact"/>
              <w:jc w:val="left"/>
            </w:pPr>
            <w:r>
              <w:t xml:space="preserve">Reflective roofs/pavements/sidewalks, Cool roads trial in Western Sydney</w:t>
            </w:r>
          </w:p>
        </w:tc>
      </w:tr>
    </w:tbl>
    <w:bookmarkEnd w:id="96"/>
    <w:bookmarkEnd w:id="97"/>
    <w:bookmarkEnd w:id="98"/>
    <w:bookmarkEnd w:id="99"/>
    <w:bookmarkStart w:id="103" w:name="application-2"/>
    <w:p>
      <w:pPr>
        <w:pStyle w:val="Heading2"/>
      </w:pPr>
      <w:r>
        <w:t xml:space="preserve">9.2 Application</w:t>
      </w:r>
    </w:p>
    <w:p>
      <w:pPr>
        <w:pStyle w:val="FirstParagraph"/>
      </w:pPr>
      <w:r>
        <w:t xml:space="preserve">MacLachlan et al. (2021)</w:t>
      </w:r>
      <w:r>
        <w:t xml:space="preserve"> </w:t>
      </w:r>
      <w:r>
        <w:t xml:space="preserve">The document outlines a sub-city urban planning modeling approach using open-source tools to measure and monitor localised urban heat island (UHI) mitigation targets. The methodology involves comparing temperature dynamics of low- and high-density census areas using Earth observation data and determining optimal placement of greening elements in proposed plans using a data-driven model. The document concludes that this approach can be universally integrated into urban planning regulation frameworks to mitigate the localized UHI effect and ensure long-term city sustainability. Also it discusses the impact of low population density on housing in Perth, Australia, and the resulting need for strategic land zonation and sustainability targets. #### Why Data-driven approach</w:t>
      </w:r>
    </w:p>
    <w:bookmarkStart w:id="100" w:name="policy-limitations"/>
    <w:p>
      <w:pPr>
        <w:pStyle w:val="Heading3"/>
      </w:pPr>
      <w:r>
        <w:t xml:space="preserve">9.2.1 Policy limitations</w:t>
      </w:r>
    </w:p>
    <w:p>
      <w:pPr>
        <w:numPr>
          <w:ilvl w:val="0"/>
          <w:numId w:val="1018"/>
        </w:numPr>
        <w:pStyle w:val="Compact"/>
      </w:pPr>
      <w:r>
        <w:t xml:space="preserve">lacking</w:t>
      </w:r>
      <w:r>
        <w:t xml:space="preserve"> </w:t>
      </w:r>
      <w:r>
        <w:rPr>
          <w:bCs/>
          <w:b/>
        </w:rPr>
        <w:t xml:space="preserve">specificities</w:t>
      </w:r>
      <w:r>
        <w:t xml:space="preserve"> </w:t>
      </w:r>
      <w:r>
        <w:t xml:space="preserve">for combating adverse temperature effects at the local level (</w:t>
      </w:r>
      <w:r>
        <w:rPr>
          <w:bCs/>
          <w:b/>
        </w:rPr>
        <w:t xml:space="preserve">sub-city</w:t>
      </w:r>
      <w:r>
        <w:t xml:space="preserve">), therefore not planning practicality</w:t>
      </w:r>
    </w:p>
    <w:p>
      <w:pPr>
        <w:numPr>
          <w:ilvl w:val="0"/>
          <w:numId w:val="1018"/>
        </w:numPr>
        <w:pStyle w:val="Compact"/>
      </w:pPr>
      <w:r>
        <w:t xml:space="preserve">no</w:t>
      </w:r>
      <w:r>
        <w:t xml:space="preserve"> </w:t>
      </w:r>
      <w:r>
        <w:rPr>
          <w:bCs/>
          <w:b/>
        </w:rPr>
        <w:t xml:space="preserve">consistency</w:t>
      </w:r>
      <w:r>
        <w:t xml:space="preserve"> </w:t>
      </w:r>
      <w:r>
        <w:t xml:space="preserve">in planning implementation</w:t>
      </w:r>
      <w:r>
        <w:t xml:space="preserve"> </w:t>
      </w:r>
      <w:r>
        <w:rPr>
          <w:bCs/>
          <w:b/>
        </w:rPr>
        <w:t xml:space="preserve">methodologies</w:t>
      </w:r>
      <w:r>
        <w:t xml:space="preserve"> </w:t>
      </w:r>
      <w:r>
        <w:t xml:space="preserve">or steps for</w:t>
      </w:r>
      <w:r>
        <w:t xml:space="preserve"> </w:t>
      </w:r>
      <w:r>
        <w:rPr>
          <w:bCs/>
          <w:b/>
        </w:rPr>
        <w:t xml:space="preserve">assessing</w:t>
      </w:r>
      <w:r>
        <w:t xml:space="preserve"> </w:t>
      </w:r>
      <w:r>
        <w:t xml:space="preserve">progress toward UHI reduction targets</w:t>
      </w:r>
    </w:p>
    <w:p>
      <w:pPr>
        <w:numPr>
          <w:ilvl w:val="0"/>
          <w:numId w:val="1018"/>
        </w:numPr>
        <w:pStyle w:val="Compact"/>
      </w:pPr>
      <w:r>
        <w:t xml:space="preserve">lackage of empirical</w:t>
      </w:r>
      <w:r>
        <w:t xml:space="preserve"> </w:t>
      </w:r>
      <w:r>
        <w:rPr>
          <w:bCs/>
          <w:b/>
        </w:rPr>
        <w:t xml:space="preserve">evidence for optimizing</w:t>
      </w:r>
      <w:r>
        <w:t xml:space="preserve"> </w:t>
      </w:r>
      <w:r>
        <w:t xml:space="preserve">UHI mitigation strategies</w:t>
      </w:r>
    </w:p>
    <w:bookmarkEnd w:id="100"/>
    <w:bookmarkStart w:id="101" w:name="data-to-drive-the-new-approach"/>
    <w:p>
      <w:pPr>
        <w:pStyle w:val="Heading3"/>
      </w:pPr>
      <w:r>
        <w:t xml:space="preserve">9.2.2 Data to drive the new approach</w:t>
      </w:r>
    </w:p>
    <w:p>
      <w:pPr>
        <w:numPr>
          <w:ilvl w:val="0"/>
          <w:numId w:val="1019"/>
        </w:numPr>
        <w:pStyle w:val="Compact"/>
      </w:pPr>
      <w:r>
        <w:t xml:space="preserve">Earth Observation (</w:t>
      </w:r>
      <w:r>
        <w:rPr>
          <w:bCs/>
          <w:b/>
        </w:rPr>
        <w:t xml:space="preserve">EO</w:t>
      </w:r>
      <w:r>
        <w:t xml:space="preserve">) data can be processed to identify (un)sustainable urban development through aerial assessments of</w:t>
      </w:r>
      <w:r>
        <w:t xml:space="preserve"> </w:t>
      </w:r>
      <w:r>
        <w:rPr>
          <w:bCs/>
          <w:b/>
        </w:rPr>
        <w:t xml:space="preserve">land cover change</w:t>
      </w:r>
    </w:p>
    <w:p>
      <w:pPr>
        <w:numPr>
          <w:ilvl w:val="0"/>
          <w:numId w:val="1019"/>
        </w:numPr>
        <w:pStyle w:val="Compact"/>
      </w:pPr>
      <w:r>
        <w:t xml:space="preserve">temperature</w:t>
      </w:r>
    </w:p>
    <w:p>
      <w:pPr>
        <w:numPr>
          <w:ilvl w:val="0"/>
          <w:numId w:val="1019"/>
        </w:numPr>
        <w:pStyle w:val="Compact"/>
      </w:pPr>
      <w:r>
        <w:t xml:space="preserve">elevation</w:t>
      </w:r>
    </w:p>
    <w:bookmarkEnd w:id="101"/>
    <w:bookmarkStart w:id="102" w:name="advantages-for-the-data-driven-approach"/>
    <w:p>
      <w:pPr>
        <w:pStyle w:val="Heading3"/>
      </w:pPr>
      <w:r>
        <w:t xml:space="preserve">9.2.3 Advantages for the Data-driven approach</w:t>
      </w:r>
    </w:p>
    <w:p>
      <w:pPr>
        <w:numPr>
          <w:ilvl w:val="0"/>
          <w:numId w:val="1020"/>
        </w:numPr>
        <w:pStyle w:val="Compact"/>
      </w:pPr>
      <w:r>
        <w:t xml:space="preserve">EO data can produce</w:t>
      </w:r>
      <w:r>
        <w:t xml:space="preserve"> </w:t>
      </w:r>
      <w:r>
        <w:rPr>
          <w:bCs/>
          <w:b/>
        </w:rPr>
        <w:t xml:space="preserve">consistent information</w:t>
      </w:r>
      <w:r>
        <w:t xml:space="preserve"> </w:t>
      </w:r>
      <w:r>
        <w:t xml:space="preserve">necessary for restricting unsustainable development</w:t>
      </w:r>
    </w:p>
    <w:p>
      <w:pPr>
        <w:numPr>
          <w:ilvl w:val="0"/>
          <w:numId w:val="1020"/>
        </w:numPr>
        <w:pStyle w:val="Compact"/>
      </w:pPr>
      <w:r>
        <w:rPr>
          <w:bCs/>
          <w:b/>
        </w:rPr>
        <w:t xml:space="preserve">monitor</w:t>
      </w:r>
      <w:r>
        <w:t xml:space="preserve"> </w:t>
      </w:r>
      <w:r>
        <w:t xml:space="preserve">UHI effects based on associated land-temperature dynamics</w:t>
      </w:r>
    </w:p>
    <w:p>
      <w:pPr>
        <w:numPr>
          <w:ilvl w:val="0"/>
          <w:numId w:val="1020"/>
        </w:numPr>
        <w:pStyle w:val="Compact"/>
      </w:pPr>
      <w:r>
        <w:t xml:space="preserve">Assessment at finer spatial scales (e.g., block subdivisions)</w:t>
      </w:r>
    </w:p>
    <w:bookmarkEnd w:id="102"/>
    <w:bookmarkEnd w:id="103"/>
    <w:bookmarkStart w:id="106" w:name="methodology"/>
    <w:p>
      <w:pPr>
        <w:pStyle w:val="Heading2"/>
      </w:pPr>
      <w:r>
        <w:t xml:space="preserve">9.3 Methodology</w:t>
      </w:r>
    </w:p>
    <w:p>
      <w:r>
        <w:pict>
          <v:rect style="width:0;height:1.5pt" o:hralign="center" o:hrstd="t" o:hr="t"/>
        </w:pict>
      </w:r>
    </w:p>
    <w:bookmarkStart w:id="104" w:name="temperature-modeling"/>
    <w:p>
      <w:pPr>
        <w:pStyle w:val="Heading3"/>
      </w:pPr>
      <w:r>
        <w:t xml:space="preserve">9.3.1 Temperature Modeling</w:t>
      </w:r>
    </w:p>
    <w:p>
      <w:r>
        <w:pict>
          <v:rect style="width:0;height:1.5pt" o:hralign="center" o:hrstd="t" o:hr="t"/>
        </w:pict>
      </w:r>
    </w:p>
    <w:p>
      <w:pPr>
        <w:numPr>
          <w:ilvl w:val="0"/>
          <w:numId w:val="1021"/>
        </w:numPr>
        <w:pStyle w:val="Compact"/>
      </w:pPr>
      <w:r>
        <w:t xml:space="preserve">Modeled temperature every 3 hours using SOLWEIG model between 2008 and 2010</w:t>
      </w:r>
    </w:p>
    <w:p>
      <w:r>
        <w:pict>
          <v:rect style="width:0;height:1.5pt" o:hralign="center" o:hrstd="t" o:hr="t"/>
        </w:pict>
      </w:r>
    </w:p>
    <w:p>
      <w:pPr>
        <w:numPr>
          <w:ilvl w:val="0"/>
          <w:numId w:val="1022"/>
        </w:numPr>
        <w:pStyle w:val="Compact"/>
      </w:pPr>
      <w:r>
        <w:t xml:space="preserve">Inputs generated from meteorological data, land cover, building DSM, ground DTM, and vegetation canopy REM in QGIS</w:t>
      </w:r>
    </w:p>
    <w:p>
      <w:r>
        <w:pict>
          <v:rect style="width:0;height:1.5pt" o:hralign="center" o:hrstd="t" o:hr="t"/>
        </w:pict>
      </w:r>
    </w:p>
    <w:p>
      <w:pPr>
        <w:numPr>
          <w:ilvl w:val="0"/>
          <w:numId w:val="1023"/>
        </w:numPr>
        <w:pStyle w:val="Compact"/>
      </w:pPr>
      <w:r>
        <w:t xml:space="preserve">SVF computed from vegetation canopy REM, building DSM, and ground DTM using UMEP plugin</w:t>
      </w:r>
    </w:p>
    <w:p>
      <w:r>
        <w:pict>
          <v:rect style="width:0;height:1.5pt" o:hralign="center" o:hrstd="t" o:hr="t"/>
        </w:pict>
      </w:r>
    </w:p>
    <w:p>
      <w:pPr>
        <w:numPr>
          <w:ilvl w:val="0"/>
          <w:numId w:val="1024"/>
        </w:numPr>
        <w:pStyle w:val="Compact"/>
      </w:pPr>
      <w:r>
        <w:t xml:space="preserve">Building wall heights and aspect generated from DSM and DTM using UMEP plugin</w:t>
      </w:r>
    </w:p>
    <w:p>
      <w:r>
        <w:pict>
          <v:rect style="width:0;height:1.5pt" o:hralign="center" o:hrstd="t" o:hr="t"/>
        </w:pict>
      </w:r>
    </w:p>
    <w:bookmarkEnd w:id="104"/>
    <w:bookmarkStart w:id="105" w:name="data-driven-tree-placement"/>
    <w:p>
      <w:pPr>
        <w:pStyle w:val="Heading3"/>
      </w:pPr>
      <w:r>
        <w:t xml:space="preserve">9.3.2 Data-Driven Tree Placement</w:t>
      </w:r>
    </w:p>
    <w:p>
      <w:r>
        <w:pict>
          <v:rect style="width:0;height:1.5pt" o:hralign="center" o:hrstd="t" o:hr="t"/>
        </w:pict>
      </w:r>
    </w:p>
    <w:p>
      <w:pPr>
        <w:numPr>
          <w:ilvl w:val="0"/>
          <w:numId w:val="1025"/>
        </w:numPr>
        <w:pStyle w:val="Compact"/>
      </w:pPr>
      <w:r>
        <w:t xml:space="preserve">Site selected for modeling temperature in the City of Fremantle</w:t>
      </w:r>
    </w:p>
    <w:p>
      <w:r>
        <w:pict>
          <v:rect style="width:0;height:1.5pt" o:hralign="center" o:hrstd="t" o:hr="t"/>
        </w:pict>
      </w:r>
    </w:p>
    <w:p>
      <w:pPr>
        <w:numPr>
          <w:ilvl w:val="0"/>
          <w:numId w:val="1026"/>
        </w:numPr>
        <w:pStyle w:val="Compact"/>
      </w:pPr>
      <w:r>
        <w:t xml:space="preserve">Three scenarios processed: current urban footprint, proposed changes, and proposed redevelopment with no trees</w:t>
      </w:r>
    </w:p>
    <w:p>
      <w:r>
        <w:pict>
          <v:rect style="width:0;height:1.5pt" o:hralign="center" o:hrstd="t" o:hr="t"/>
        </w:pict>
      </w:r>
    </w:p>
    <w:p>
      <w:pPr>
        <w:numPr>
          <w:ilvl w:val="0"/>
          <w:numId w:val="1027"/>
        </w:numPr>
        <w:pStyle w:val="Compact"/>
      </w:pPr>
      <w:r>
        <w:t xml:space="preserve">Highest temperatures identified and used to redesign tree placement</w:t>
      </w:r>
    </w:p>
    <w:p>
      <w:r>
        <w:pict>
          <v:rect style="width:0;height:1.5pt" o:hralign="center" o:hrstd="t" o:hr="t"/>
        </w:pict>
      </w:r>
    </w:p>
    <w:p>
      <w:pPr>
        <w:numPr>
          <w:ilvl w:val="0"/>
          <w:numId w:val="1028"/>
        </w:numPr>
        <w:pStyle w:val="Compact"/>
      </w:pPr>
      <w:r>
        <w:t xml:space="preserve">15 trees distributed according to original design aspects</w:t>
      </w:r>
    </w:p>
    <w:p>
      <w:r>
        <w:pict>
          <v:rect style="width:0;height:1.5pt" o:hralign="center" o:hrstd="t" o:hr="t"/>
        </w:pict>
      </w:r>
    </w:p>
    <w:p>
      <w:pPr>
        <w:numPr>
          <w:ilvl w:val="0"/>
          <w:numId w:val="1029"/>
        </w:numPr>
        <w:pStyle w:val="Compact"/>
      </w:pPr>
      <w:r>
        <w:t xml:space="preserve">Updated vegetation canopy REM reflected new tree locations</w:t>
      </w:r>
    </w:p>
    <w:p>
      <w:r>
        <w:pict>
          <v:rect style="width:0;height:1.5pt" o:hralign="center" o:hrstd="t" o:hr="t"/>
        </w:pict>
      </w:r>
    </w:p>
    <w:p>
      <w:pPr>
        <w:numPr>
          <w:ilvl w:val="0"/>
          <w:numId w:val="1030"/>
        </w:numPr>
        <w:pStyle w:val="Compact"/>
      </w:pPr>
      <w:r>
        <w:t xml:space="preserve">Analysis re-run to compare temperature across redevelopment site</w:t>
      </w:r>
    </w:p>
    <w:p>
      <w:r>
        <w:pict>
          <v:rect style="width:0;height:1.5pt" o:hralign="center" o:hrstd="t" o:hr="t"/>
        </w:pict>
      </w:r>
    </w:p>
    <w:p>
      <w:pPr>
        <w:numPr>
          <w:ilvl w:val="0"/>
          <w:numId w:val="1031"/>
        </w:numPr>
        <w:pStyle w:val="Compact"/>
      </w:pPr>
      <w:r>
        <w:t xml:space="preserve">Modeled all scenarios accounting for influence of neighboring landscape features</w:t>
      </w:r>
    </w:p>
    <w:p>
      <w:r>
        <w:pict>
          <v:rect style="width:0;height:1.5pt" o:hralign="center" o:hrstd="t" o:hr="t"/>
        </w:pict>
      </w:r>
    </w:p>
    <w:bookmarkEnd w:id="105"/>
    <w:bookmarkEnd w:id="106"/>
    <w:bookmarkStart w:id="107" w:name="result"/>
    <w:p>
      <w:pPr>
        <w:pStyle w:val="Heading2"/>
      </w:pPr>
      <w:r>
        <w:t xml:space="preserve">9.4 Result</w:t>
      </w:r>
    </w:p>
    <w:p>
      <w:pPr>
        <w:pStyle w:val="FirstParagraph"/>
      </w:pPr>
      <w:r>
        <w:t xml:space="preserve">Table 1: Results of assessments of urban design factors on UHI effect in Perth.</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Factors assessed</w:t>
            </w:r>
          </w:p>
        </w:tc>
        <w:tc>
          <w:tcPr/>
          <w:p>
            <w:pPr>
              <w:pStyle w:val="Compact"/>
              <w:jc w:val="left"/>
            </w:pPr>
            <w:r>
              <w:t xml:space="preserve">Effect on UHI effect</w:t>
            </w:r>
          </w:p>
        </w:tc>
      </w:tr>
      <w:tr>
        <w:tc>
          <w:tcPr/>
          <w:p>
            <w:pPr>
              <w:pStyle w:val="Compact"/>
              <w:jc w:val="left"/>
            </w:pPr>
            <w:r>
              <w:t xml:space="preserve">Vegetation cover</w:t>
            </w:r>
          </w:p>
        </w:tc>
        <w:tc>
          <w:tcPr/>
          <w:p>
            <w:pPr>
              <w:pStyle w:val="Compact"/>
              <w:jc w:val="left"/>
            </w:pPr>
            <w:r>
              <w:t xml:space="preserve">Negative correlation with UHI effect</w:t>
            </w:r>
          </w:p>
        </w:tc>
      </w:tr>
      <w:tr>
        <w:tc>
          <w:tcPr/>
          <w:p>
            <w:pPr>
              <w:pStyle w:val="Compact"/>
              <w:jc w:val="left"/>
            </w:pPr>
            <w:r>
              <w:t xml:space="preserve">Canopy cover</w:t>
            </w:r>
          </w:p>
        </w:tc>
        <w:tc>
          <w:tcPr/>
          <w:p>
            <w:pPr>
              <w:pStyle w:val="Compact"/>
              <w:jc w:val="left"/>
            </w:pPr>
            <w:r>
              <w:t xml:space="preserve">Negative correlation with UHI effect</w:t>
            </w:r>
          </w:p>
        </w:tc>
      </w:tr>
      <w:tr>
        <w:tc>
          <w:tcPr/>
          <w:p>
            <w:pPr>
              <w:pStyle w:val="Compact"/>
              <w:jc w:val="left"/>
            </w:pPr>
            <w:r>
              <w:t xml:space="preserve">Building density</w:t>
            </w:r>
          </w:p>
        </w:tc>
        <w:tc>
          <w:tcPr/>
          <w:p>
            <w:pPr>
              <w:pStyle w:val="Compact"/>
              <w:jc w:val="left"/>
            </w:pPr>
            <w:r>
              <w:t xml:space="preserve">Positive correlation with UHI effect</w:t>
            </w:r>
          </w:p>
        </w:tc>
      </w:tr>
      <w:tr>
        <w:tc>
          <w:tcPr/>
          <w:p>
            <w:pPr>
              <w:pStyle w:val="Compact"/>
              <w:jc w:val="left"/>
            </w:pPr>
            <w:r>
              <w:t xml:space="preserve">Building height</w:t>
            </w:r>
          </w:p>
        </w:tc>
        <w:tc>
          <w:tcPr/>
          <w:p>
            <w:pPr>
              <w:pStyle w:val="Compact"/>
              <w:jc w:val="left"/>
            </w:pPr>
            <w:r>
              <w:t xml:space="preserve">Positive correlation with UHI effect</w:t>
            </w:r>
          </w:p>
        </w:tc>
      </w:tr>
      <w:tr>
        <w:tc>
          <w:tcPr/>
          <w:p>
            <w:pPr>
              <w:pStyle w:val="Compact"/>
              <w:jc w:val="left"/>
            </w:pPr>
            <w:r>
              <w:t xml:space="preserve">Albedo</w:t>
            </w:r>
          </w:p>
        </w:tc>
        <w:tc>
          <w:tcPr/>
          <w:p>
            <w:pPr>
              <w:pStyle w:val="Compact"/>
              <w:jc w:val="left"/>
            </w:pPr>
            <w:r>
              <w:t xml:space="preserve">Negative correlation with UHI effect</w:t>
            </w:r>
          </w:p>
        </w:tc>
      </w:tr>
      <w:tr>
        <w:tc>
          <w:tcPr/>
          <w:p>
            <w:pPr>
              <w:pStyle w:val="Compact"/>
              <w:jc w:val="left"/>
            </w:pPr>
            <w:r>
              <w:t xml:space="preserve">Land use</w:t>
            </w:r>
          </w:p>
        </w:tc>
        <w:tc>
          <w:tcPr/>
          <w:p>
            <w:pPr>
              <w:pStyle w:val="Compact"/>
              <w:jc w:val="left"/>
            </w:pPr>
            <w:r>
              <w:t xml:space="preserve">Negative correlation with UHI effect</w:t>
            </w:r>
          </w:p>
        </w:tc>
      </w:tr>
      <w:tr>
        <w:tc>
          <w:tcPr/>
          <w:p>
            <w:pPr>
              <w:pStyle w:val="Compact"/>
              <w:jc w:val="left"/>
            </w:pPr>
            <w:r>
              <w:t xml:space="preserve">Urban sprawl</w:t>
            </w:r>
          </w:p>
        </w:tc>
        <w:tc>
          <w:tcPr/>
          <w:p>
            <w:pPr>
              <w:pStyle w:val="Compact"/>
              <w:jc w:val="left"/>
            </w:pPr>
            <w:r>
              <w:t xml:space="preserve">Positive correlation with UHI effect</w:t>
            </w:r>
          </w:p>
        </w:tc>
      </w:tr>
    </w:tbl>
    <w:p>
      <w:pPr>
        <w:pStyle w:val="BodyText"/>
      </w:pPr>
      <w:r>
        <w:t xml:space="preserve">Table 2: Total population and population density per 0.1 km2 between 2011 and 2016 for Subiaco and Currambine SA1s as defined by the ABS.</w:t>
      </w:r>
    </w:p>
    <w:tbl>
      <w:tblPr>
        <w:tblStyle w:val="Table"/>
        <w:tblW w:type="pct" w:w="5000"/>
        <w:tblLook w:firstRow="1" w:lastRow="0" w:firstColumn="0" w:lastColumn="0" w:noHBand="0" w:noVBand="0" w:val="0020"/>
      </w:tblPr>
      <w:tblGrid>
        <w:gridCol w:w="609"/>
        <w:gridCol w:w="1472"/>
        <w:gridCol w:w="1472"/>
        <w:gridCol w:w="2183"/>
        <w:gridCol w:w="2183"/>
      </w:tblGrid>
      <w:tr>
        <w:trPr>
          <w:tblHeader w:val="true"/>
        </w:trPr>
        <w:tc>
          <w:tcPr/>
          <w:p>
            <w:pPr>
              <w:pStyle w:val="Compact"/>
              <w:jc w:val="left"/>
            </w:pPr>
            <w:r>
              <w:rPr>
                <w:bCs/>
                <w:b/>
              </w:rPr>
              <w:t xml:space="preserve">SA1</w:t>
            </w:r>
          </w:p>
        </w:tc>
        <w:tc>
          <w:tcPr/>
          <w:p>
            <w:pPr>
              <w:pStyle w:val="Compact"/>
              <w:jc w:val="left"/>
            </w:pPr>
            <w:r>
              <w:rPr>
                <w:bCs/>
                <w:b/>
              </w:rPr>
              <w:t xml:space="preserve">Total Population (2011)</w:t>
            </w:r>
          </w:p>
        </w:tc>
        <w:tc>
          <w:tcPr/>
          <w:p>
            <w:pPr>
              <w:pStyle w:val="Compact"/>
              <w:jc w:val="left"/>
            </w:pPr>
            <w:r>
              <w:rPr>
                <w:bCs/>
                <w:b/>
              </w:rPr>
              <w:t xml:space="preserve">Total Population (2016)</w:t>
            </w:r>
          </w:p>
        </w:tc>
        <w:tc>
          <w:tcPr/>
          <w:p>
            <w:pPr>
              <w:pStyle w:val="Compact"/>
              <w:jc w:val="left"/>
            </w:pPr>
            <w:r>
              <w:rPr>
                <w:bCs/>
                <w:b/>
              </w:rPr>
              <w:t xml:space="preserve">Population Density per 0.1 km2 (2011)</w:t>
            </w:r>
          </w:p>
        </w:tc>
        <w:tc>
          <w:tcPr/>
          <w:p>
            <w:pPr>
              <w:pStyle w:val="Compact"/>
              <w:jc w:val="left"/>
            </w:pPr>
            <w:r>
              <w:rPr>
                <w:bCs/>
                <w:b/>
              </w:rPr>
              <w:t xml:space="preserve">Population Density per 0.1 km2 (2016)</w:t>
            </w:r>
          </w:p>
        </w:tc>
      </w:tr>
      <w:tr>
        <w:tc>
          <w:tcPr/>
          <w:p>
            <w:pPr>
              <w:pStyle w:val="Compact"/>
              <w:jc w:val="left"/>
            </w:pPr>
            <w:r>
              <w:t xml:space="preserve">Subiaco</w:t>
            </w:r>
          </w:p>
        </w:tc>
        <w:tc>
          <w:tcPr/>
          <w:p>
            <w:pPr>
              <w:pStyle w:val="Compact"/>
              <w:jc w:val="left"/>
            </w:pPr>
            <w:r>
              <w:t xml:space="preserve">N/A</w:t>
            </w:r>
          </w:p>
        </w:tc>
        <w:tc>
          <w:tcPr/>
          <w:p>
            <w:pPr>
              <w:pStyle w:val="Compact"/>
              <w:jc w:val="left"/>
            </w:pPr>
            <w:r>
              <w:t xml:space="preserve">N/A</w:t>
            </w:r>
          </w:p>
        </w:tc>
        <w:tc>
          <w:tcPr/>
          <w:p>
            <w:pPr>
              <w:pStyle w:val="Compact"/>
              <w:jc w:val="left"/>
            </w:pPr>
            <w:r>
              <w:t xml:space="preserve">325</w:t>
            </w:r>
          </w:p>
        </w:tc>
        <w:tc>
          <w:tcPr/>
          <w:p>
            <w:pPr>
              <w:pStyle w:val="Compact"/>
              <w:jc w:val="left"/>
            </w:pPr>
            <w:r>
              <w:t xml:space="preserve">712</w:t>
            </w:r>
          </w:p>
        </w:tc>
      </w:tr>
      <w:tr>
        <w:tc>
          <w:tcPr/>
          <w:p>
            <w:pPr>
              <w:pStyle w:val="Compact"/>
              <w:jc w:val="left"/>
            </w:pPr>
            <w:r>
              <w:t xml:space="preserve">Currambine</w:t>
            </w:r>
          </w:p>
        </w:tc>
        <w:tc>
          <w:tcPr/>
          <w:p>
            <w:pPr>
              <w:pStyle w:val="Compact"/>
              <w:jc w:val="left"/>
            </w:pPr>
            <w:r>
              <w:t xml:space="preserve">N/A</w:t>
            </w:r>
          </w:p>
        </w:tc>
        <w:tc>
          <w:tcPr/>
          <w:p>
            <w:pPr>
              <w:pStyle w:val="Compact"/>
              <w:jc w:val="left"/>
            </w:pPr>
            <w:r>
              <w:t xml:space="preserve">N/A</w:t>
            </w:r>
          </w:p>
        </w:tc>
        <w:tc>
          <w:tcPr/>
          <w:p>
            <w:pPr>
              <w:pStyle w:val="Compact"/>
              <w:jc w:val="left"/>
            </w:pPr>
            <w:r>
              <w:t xml:space="preserve">310</w:t>
            </w:r>
          </w:p>
        </w:tc>
        <w:tc>
          <w:tcPr/>
          <w:p>
            <w:pPr>
              <w:pStyle w:val="Compact"/>
              <w:jc w:val="left"/>
            </w:pPr>
            <w:r>
              <w:t xml:space="preserve">324</w:t>
            </w:r>
          </w:p>
        </w:tc>
      </w:tr>
    </w:tbl>
    <w:bookmarkEnd w:id="107"/>
    <w:bookmarkStart w:id="108" w:name="reflection-4"/>
    <w:p>
      <w:pPr>
        <w:pStyle w:val="Heading2"/>
      </w:pPr>
      <w:r>
        <w:t xml:space="preserve">9.5 Reflection</w:t>
      </w:r>
    </w:p>
    <w:p>
      <w:pPr>
        <w:numPr>
          <w:ilvl w:val="0"/>
          <w:numId w:val="1032"/>
        </w:numPr>
        <w:pStyle w:val="Compact"/>
      </w:pPr>
      <w:r>
        <w:t xml:space="preserve">Case study: Superblocks, Barcelona</w:t>
      </w:r>
    </w:p>
    <w:p>
      <w:pPr>
        <w:pStyle w:val="FirstParagraph"/>
      </w:pPr>
      <w:r>
        <w:t xml:space="preserve">Basically about pedestrian economy. Though there have been many retail modes like KFC and other American fast food, the experience from Europe tells that economy vitality can have a boost with pedestrian-dominated areas. See Barcelona</w:t>
      </w:r>
    </w:p>
    <w:bookmarkEnd w:id="108"/>
    <w:bookmarkEnd w:id="109"/>
    <w:bookmarkStart w:id="120" w:name="Xf25d4a036a0a11b071de824447f9beda0b29a41"/>
    <w:p>
      <w:pPr>
        <w:pStyle w:val="Heading1"/>
      </w:pPr>
      <w:r>
        <w:t xml:space="preserve">10. Week 9 -</w:t>
      </w:r>
      <w:r>
        <w:t xml:space="preserve"> </w:t>
      </w:r>
      <w:r>
        <w:rPr>
          <w:bCs/>
          <w:b/>
        </w:rPr>
        <w:t xml:space="preserve">Synthetic Aperture Radar (SAR) data</w:t>
      </w:r>
    </w:p>
    <w:bookmarkStart w:id="118" w:name="summary-6"/>
    <w:p>
      <w:pPr>
        <w:pStyle w:val="Heading2"/>
      </w:pPr>
      <w:r>
        <w:t xml:space="preserve">10.1 Summary</w:t>
      </w:r>
    </w:p>
    <w:p>
      <w:pPr>
        <w:pStyle w:val="FirstParagraph"/>
      </w:pPr>
      <w:r>
        <w:t xml:space="preserve">This week addresses problems in</w:t>
      </w:r>
    </w:p>
    <w:p>
      <w:pPr>
        <w:numPr>
          <w:ilvl w:val="0"/>
          <w:numId w:val="1033"/>
        </w:numPr>
        <w:pStyle w:val="Compact"/>
      </w:pPr>
      <w:r>
        <w:t xml:space="preserve">The object of using Synthetic Aperture Radar (SAR)</w:t>
      </w:r>
    </w:p>
    <w:p>
      <w:pPr>
        <w:pStyle w:val="FirstParagraph"/>
      </w:pPr>
      <w:r>
        <w:t xml:space="preserve">Detecting changes in the Earth’s surface over time</w:t>
      </w:r>
    </w:p>
    <w:p>
      <w:pPr>
        <w:numPr>
          <w:ilvl w:val="0"/>
          <w:numId w:val="1034"/>
        </w:numPr>
        <w:pStyle w:val="Compact"/>
      </w:pPr>
      <w:r>
        <w:t xml:space="preserve">The advantages of SAR for change detection</w:t>
      </w:r>
    </w:p>
    <w:p>
      <w:pPr>
        <w:numPr>
          <w:ilvl w:val="1"/>
          <w:numId w:val="1035"/>
        </w:numPr>
        <w:pStyle w:val="Compact"/>
      </w:pPr>
      <w:r>
        <w:t xml:space="preserve">see through clouds</w:t>
      </w:r>
    </w:p>
    <w:p>
      <w:pPr>
        <w:numPr>
          <w:ilvl w:val="1"/>
          <w:numId w:val="1035"/>
        </w:numPr>
        <w:pStyle w:val="Compact"/>
      </w:pPr>
      <w:r>
        <w:t xml:space="preserve">high temporal resolution</w:t>
      </w:r>
    </w:p>
    <w:p>
      <w:pPr>
        <w:numPr>
          <w:ilvl w:val="0"/>
          <w:numId w:val="1034"/>
        </w:numPr>
        <w:pStyle w:val="Compact"/>
      </w:pPr>
      <w:r>
        <w:t xml:space="preserve">Techniques for change detection with SAR?</w:t>
      </w:r>
    </w:p>
    <w:p>
      <w:pPr>
        <w:numPr>
          <w:ilvl w:val="1"/>
          <w:numId w:val="1036"/>
        </w:numPr>
        <w:pStyle w:val="Compact"/>
      </w:pPr>
      <w:r>
        <w:t xml:space="preserve">ratio</w:t>
      </w:r>
    </w:p>
    <w:p>
      <w:pPr>
        <w:numPr>
          <w:ilvl w:val="1"/>
          <w:numId w:val="1036"/>
        </w:numPr>
        <w:pStyle w:val="Compact"/>
      </w:pPr>
      <w:r>
        <w:t xml:space="preserve">log ratios between two images</w:t>
      </w:r>
    </w:p>
    <w:p>
      <w:pPr>
        <w:numPr>
          <w:ilvl w:val="1"/>
          <w:numId w:val="1036"/>
        </w:numPr>
        <w:pStyle w:val="Compact"/>
      </w:pPr>
      <w:r>
        <w:t xml:space="preserve">t-tests</w:t>
      </w:r>
    </w:p>
    <w:p>
      <w:pPr>
        <w:numPr>
          <w:ilvl w:val="0"/>
          <w:numId w:val="1034"/>
        </w:numPr>
        <w:pStyle w:val="Compact"/>
      </w:pPr>
      <w:r>
        <w:t xml:space="preserve">fused with other data?</w:t>
      </w:r>
    </w:p>
    <w:p>
      <w:pPr>
        <w:pStyle w:val="FirstParagraph"/>
      </w:pPr>
      <w:r>
        <w:t xml:space="preserve">Yes, with optical data using techniques such as</w:t>
      </w:r>
    </w:p>
    <w:p>
      <w:pPr>
        <w:numPr>
          <w:ilvl w:val="0"/>
          <w:numId w:val="1037"/>
        </w:numPr>
        <w:pStyle w:val="Compact"/>
      </w:pPr>
      <w:r>
        <w:t xml:space="preserve">principal component analysis</w:t>
      </w:r>
    </w:p>
    <w:p>
      <w:pPr>
        <w:numPr>
          <w:ilvl w:val="0"/>
          <w:numId w:val="1037"/>
        </w:numPr>
        <w:pStyle w:val="Compact"/>
      </w:pPr>
      <w:r>
        <w:t xml:space="preserve">object-based image analysis</w:t>
      </w:r>
    </w:p>
    <w:p>
      <w:pPr>
        <w:numPr>
          <w:ilvl w:val="0"/>
          <w:numId w:val="1037"/>
        </w:numPr>
        <w:pStyle w:val="Compact"/>
      </w:pPr>
      <w:r>
        <w:t xml:space="preserve">intensity fusion</w:t>
      </w:r>
    </w:p>
    <w:p>
      <w:pPr>
        <w:numPr>
          <w:ilvl w:val="0"/>
          <w:numId w:val="1038"/>
        </w:numPr>
        <w:pStyle w:val="Compact"/>
      </w:pPr>
      <w:r>
        <w:t xml:space="preserve">Applications?</w:t>
      </w:r>
    </w:p>
    <w:p>
      <w:pPr>
        <w:numPr>
          <w:ilvl w:val="1"/>
          <w:numId w:val="1039"/>
        </w:numPr>
        <w:pStyle w:val="Compact"/>
      </w:pPr>
      <w:r>
        <w:t xml:space="preserve">monitoring land use changes</w:t>
      </w:r>
    </w:p>
    <w:p>
      <w:pPr>
        <w:numPr>
          <w:ilvl w:val="1"/>
          <w:numId w:val="1039"/>
        </w:numPr>
        <w:pStyle w:val="Compact"/>
      </w:pPr>
      <w:r>
        <w:t xml:space="preserve">detecting deforestation</w:t>
      </w:r>
    </w:p>
    <w:p>
      <w:pPr>
        <w:numPr>
          <w:ilvl w:val="1"/>
          <w:numId w:val="1039"/>
        </w:numPr>
        <w:pStyle w:val="Compact"/>
      </w:pPr>
      <w:r>
        <w:t xml:space="preserve">identifying urban growth pattern</w:t>
      </w:r>
    </w:p>
    <w:bookmarkStart w:id="115" w:name="possible-future-developments"/>
    <w:p>
      <w:pPr>
        <w:pStyle w:val="Heading3"/>
      </w:pPr>
      <w:r>
        <w:t xml:space="preserve">10.1.1 Possible future developments</w:t>
      </w:r>
    </w:p>
    <w:p>
      <w:pPr>
        <w:numPr>
          <w:ilvl w:val="0"/>
          <w:numId w:val="1040"/>
        </w:numPr>
        <w:pStyle w:val="Compact"/>
      </w:pPr>
      <w:r>
        <w:t xml:space="preserve">Resolution and accuracy:</w:t>
      </w:r>
    </w:p>
    <w:p>
      <w:pPr>
        <w:numPr>
          <w:ilvl w:val="1"/>
          <w:numId w:val="1041"/>
        </w:numPr>
        <w:pStyle w:val="Compact"/>
      </w:pPr>
      <w:r>
        <w:t xml:space="preserve">Urban planning: Improved resolution and accuracy can influence local zoning regulations and urban growth management by providing detailed information on land use changes and the built environment. For example, high-resolution SAR data can be used to assess the effectiveness of urban containment policies or to identify areas where infrastructure investments are needed.</w:t>
      </w:r>
    </w:p>
    <w:p>
      <w:pPr>
        <w:numPr>
          <w:ilvl w:val="0"/>
          <w:numId w:val="1040"/>
        </w:numPr>
        <w:pStyle w:val="Compact"/>
      </w:pPr>
      <w:r>
        <w:t xml:space="preserve">Data processing capabilities</w:t>
      </w:r>
    </w:p>
    <w:p>
      <w:pPr>
        <w:numPr>
          <w:ilvl w:val="1"/>
          <w:numId w:val="1042"/>
        </w:numPr>
        <w:pStyle w:val="Compact"/>
      </w:pPr>
      <w:r>
        <w:t xml:space="preserve">Disaster response: The ability to process larger datasets and monitor Earth’s surface in near real-time can inform global policies and agreements related to disaster management, such as the</w:t>
      </w:r>
      <w:r>
        <w:t xml:space="preserve"> </w:t>
      </w:r>
      <w:hyperlink r:id="rId110">
        <w:r>
          <w:rPr>
            <w:rStyle w:val="Hyperlink"/>
          </w:rPr>
          <w:t xml:space="preserve">Sendai Framework for Disaster Risk Reduction</w:t>
        </w:r>
      </w:hyperlink>
      <w:r>
        <w:t xml:space="preserve">. Rapid response to natural disasters, like earthquakes or hurricanes, can be coordinated more effectively with updated SAR data, allowing for quicker deployment of resources and better management of affected areas.</w:t>
      </w:r>
    </w:p>
    <w:p>
      <w:pPr>
        <w:numPr>
          <w:ilvl w:val="0"/>
          <w:numId w:val="1040"/>
        </w:numPr>
        <w:pStyle w:val="Compact"/>
      </w:pPr>
      <w:r>
        <w:t xml:space="preserve">New SAR applications</w:t>
      </w:r>
    </w:p>
    <w:p>
      <w:pPr>
        <w:numPr>
          <w:ilvl w:val="1"/>
          <w:numId w:val="1043"/>
        </w:numPr>
        <w:pStyle w:val="Compact"/>
      </w:pPr>
      <w:r>
        <w:t xml:space="preserve">Agricultural: Advancements in SAR technology will expand its use in change detection and monitoring. This will support policies like the</w:t>
      </w:r>
      <w:r>
        <w:t xml:space="preserve"> </w:t>
      </w:r>
      <w:hyperlink r:id="rId111">
        <w:r>
          <w:rPr>
            <w:rStyle w:val="Hyperlink"/>
          </w:rPr>
          <w:t xml:space="preserve">European Union’s Common Agricultural Policy (CAP)</w:t>
        </w:r>
      </w:hyperlink>
      <w:r>
        <w:t xml:space="preserve">, by providing data on crop health, irrigation needs, and land use changes.</w:t>
      </w:r>
    </w:p>
    <w:p>
      <w:pPr>
        <w:numPr>
          <w:ilvl w:val="1"/>
          <w:numId w:val="1043"/>
        </w:numPr>
        <w:pStyle w:val="Compact"/>
      </w:pPr>
      <w:r>
        <w:t xml:space="preserve">Forestry (deforestation and reforestation tracking)</w:t>
      </w:r>
    </w:p>
    <w:p>
      <w:pPr>
        <w:numPr>
          <w:ilvl w:val="1"/>
          <w:numId w:val="1043"/>
        </w:numPr>
        <w:pStyle w:val="Compact"/>
      </w:pPr>
      <w:r>
        <w:t xml:space="preserve">Disaster response (flood and landslide monitoring)</w:t>
      </w:r>
    </w:p>
    <w:p>
      <w:pPr>
        <w:numPr>
          <w:ilvl w:val="1"/>
          <w:numId w:val="1043"/>
        </w:numPr>
        <w:pStyle w:val="Compact"/>
      </w:pPr>
      <w:r>
        <w:t xml:space="preserve">Environmental management: SAR data can inform policies related to wetland and coastal zone management, such as the</w:t>
      </w:r>
      <w:r>
        <w:t xml:space="preserve"> </w:t>
      </w:r>
      <w:hyperlink r:id="rId112">
        <w:r>
          <w:rPr>
            <w:rStyle w:val="Hyperlink"/>
          </w:rPr>
          <w:t xml:space="preserve">Ramsar Convention on Wetlands</w:t>
        </w:r>
      </w:hyperlink>
      <w:r>
        <w:t xml:space="preserve"> </w:t>
      </w:r>
      <w:r>
        <w:t xml:space="preserve">and the</w:t>
      </w:r>
      <w:r>
        <w:t xml:space="preserve"> </w:t>
      </w:r>
      <w:hyperlink r:id="rId113">
        <w:r>
          <w:rPr>
            <w:rStyle w:val="Hyperlink"/>
          </w:rPr>
          <w:t xml:space="preserve">United Nations Convention on the Law of the Sea (UNCLOS)</w:t>
        </w:r>
      </w:hyperlink>
      <w:r>
        <w:t xml:space="preserve">. By monitoring changes in these sensitive areas, policymakers can evaluate the effectiveness of existing regulations and develop new strategies to protect vital ecosystems.</w:t>
      </w:r>
    </w:p>
    <w:p>
      <w:pPr>
        <w:numPr>
          <w:ilvl w:val="0"/>
          <w:numId w:val="1040"/>
        </w:numPr>
        <w:pStyle w:val="Compact"/>
      </w:pPr>
      <w:r>
        <w:t xml:space="preserve">Machine learning and artificial intelligence:</w:t>
      </w:r>
    </w:p>
    <w:p>
      <w:pPr>
        <w:numPr>
          <w:ilvl w:val="1"/>
          <w:numId w:val="1044"/>
        </w:numPr>
        <w:pStyle w:val="Compact"/>
      </w:pPr>
      <w:r>
        <w:t xml:space="preserve">Advanced algorithms will be able to identify and classify features and changes in SAR data analysis in the Earth’s surface, improving the overall accuracy of change detection, thus supporting climate change adaptation efforts at both local and global levels, including the</w:t>
      </w:r>
      <w:r>
        <w:t xml:space="preserve"> </w:t>
      </w:r>
      <w:hyperlink r:id="rId114">
        <w:r>
          <w:rPr>
            <w:rStyle w:val="Hyperlink"/>
          </w:rPr>
          <w:t xml:space="preserve">United Nations Framework Convention on Climate Change (UNFCCC)</w:t>
        </w:r>
      </w:hyperlink>
      <w:r>
        <w:t xml:space="preserve"> </w:t>
      </w:r>
      <w:r>
        <w:t xml:space="preserve">and the</w:t>
      </w:r>
      <w:r>
        <w:t xml:space="preserve"> </w:t>
      </w:r>
      <w:hyperlink r:id="rId114">
        <w:r>
          <w:rPr>
            <w:rStyle w:val="Hyperlink"/>
          </w:rPr>
          <w:t xml:space="preserve">Paris Agreement</w:t>
        </w:r>
      </w:hyperlink>
      <w:r>
        <w:t xml:space="preserve">. Predictive models based on SAR data can help policymakers identify areas at risk of flooding, coastal erosion, or other climate-related impacts, enabling the development of targeted adaptation strategies.</w:t>
      </w:r>
    </w:p>
    <w:p>
      <w:pPr>
        <w:pStyle w:val="FirstParagraph"/>
      </w:pPr>
      <w:r>
        <w:t xml:space="preserve">In conclusion, advancements in SAR technology, combined with the integration of machine learning and artificial intelligence, will significantly enhance the capabilities for change detection and Earth surface monitoring. These developments will have far-reaching implications for various sectors, including agriculture, forestry, disaster management, and environmental protection, ultimately influencing policymaking and promoting more informed decision-making processes.</w:t>
      </w:r>
    </w:p>
    <w:bookmarkEnd w:id="115"/>
    <w:bookmarkStart w:id="116" w:name="sar-fundamentals"/>
    <w:p>
      <w:pPr>
        <w:pStyle w:val="Heading3"/>
      </w:pPr>
      <w:r>
        <w:t xml:space="preserve">10.1.2 SAR fundamentals</w:t>
      </w:r>
    </w:p>
    <w:tbl>
      <w:tblPr>
        <w:tblStyle w:val="Table"/>
        <w:tblW w:type="pct" w:w="5000"/>
        <w:tblLook w:firstRow="1" w:lastRow="0" w:firstColumn="0" w:lastColumn="0" w:noHBand="0" w:noVBand="0" w:val="0020"/>
      </w:tblPr>
      <w:tblGrid>
        <w:gridCol w:w="759"/>
        <w:gridCol w:w="7161"/>
      </w:tblGrid>
      <w:tr>
        <w:trPr>
          <w:tblHeader w:val="true"/>
        </w:trPr>
        <w:tc>
          <w:tcPr/>
          <w:p>
            <w:pPr>
              <w:pStyle w:val="Compact"/>
              <w:jc w:val="left"/>
            </w:pPr>
            <w:r>
              <w:t xml:space="preserve">Topic</w:t>
            </w:r>
          </w:p>
        </w:tc>
        <w:tc>
          <w:tcPr/>
          <w:p>
            <w:pPr>
              <w:pStyle w:val="Compact"/>
              <w:jc w:val="left"/>
            </w:pPr>
            <w:r>
              <w:t xml:space="preserve">Key Points</w:t>
            </w:r>
          </w:p>
        </w:tc>
      </w:tr>
      <w:tr>
        <w:tc>
          <w:tcPr/>
          <w:p>
            <w:pPr>
              <w:pStyle w:val="Compact"/>
              <w:jc w:val="left"/>
            </w:pPr>
            <w:r>
              <w:t xml:space="preserve">Definition</w:t>
            </w:r>
          </w:p>
        </w:tc>
        <w:tc>
          <w:tcPr/>
          <w:p>
            <w:pPr>
              <w:pStyle w:val="Compact"/>
              <w:jc w:val="left"/>
            </w:pPr>
            <w:r>
              <w:t xml:space="preserve">Synthetic Aperture Radar (SAR) is a type of radar that uses microwave signals to create high-resolution images of the Earth’s surface.</w:t>
            </w:r>
          </w:p>
        </w:tc>
      </w:tr>
      <w:tr>
        <w:tc>
          <w:tcPr/>
          <w:p>
            <w:pPr>
              <w:pStyle w:val="Compact"/>
              <w:jc w:val="left"/>
            </w:pPr>
            <w:r>
              <w:t xml:space="preserve">Advantages</w:t>
            </w:r>
          </w:p>
        </w:tc>
        <w:tc>
          <w:tcPr/>
          <w:p>
            <w:pPr>
              <w:pStyle w:val="Compact"/>
              <w:jc w:val="left"/>
            </w:pPr>
            <w:r>
              <w:t xml:space="preserve">Operates in all weather conditions; penetrates through clouds and vegetation cover.</w:t>
            </w:r>
          </w:p>
        </w:tc>
      </w:tr>
      <w:tr>
        <w:tc>
          <w:tcPr/>
          <w:p>
            <w:pPr>
              <w:pStyle w:val="Compact"/>
              <w:jc w:val="left"/>
            </w:pPr>
            <w:r>
              <w:t xml:space="preserve">Limitations</w:t>
            </w:r>
          </w:p>
        </w:tc>
        <w:tc>
          <w:tcPr/>
          <w:p>
            <w:pPr>
              <w:pStyle w:val="Compact"/>
              <w:jc w:val="left"/>
            </w:pPr>
            <w:r>
              <w:t xml:space="preserve">Sensitive to surface roughness; limited spatial resolution.</w:t>
            </w:r>
          </w:p>
        </w:tc>
      </w:tr>
      <w:tr>
        <w:tc>
          <w:tcPr/>
          <w:p>
            <w:pPr>
              <w:pStyle w:val="Compact"/>
              <w:jc w:val="left"/>
            </w:pPr>
            <w:r>
              <w:t xml:space="preserve">Processing Techniques</w:t>
            </w:r>
          </w:p>
        </w:tc>
        <w:tc>
          <w:tcPr/>
          <w:p>
            <w:pPr>
              <w:pStyle w:val="Compact"/>
              <w:jc w:val="left"/>
            </w:pPr>
            <w:r>
              <w:t xml:space="preserve">Interferometry: combines multiple SAR images to create 3D maps of the Earth’s surface. Polarimetry: analyzes the polarization properties of reflected signals to extract additional information about surface features.</w:t>
            </w:r>
          </w:p>
        </w:tc>
      </w:tr>
      <w:tr>
        <w:tc>
          <w:tcPr/>
          <w:p>
            <w:pPr>
              <w:pStyle w:val="Compact"/>
              <w:jc w:val="left"/>
            </w:pPr>
            <w:r>
              <w:t xml:space="preserve">Applications</w:t>
            </w:r>
          </w:p>
        </w:tc>
        <w:tc>
          <w:tcPr/>
          <w:p>
            <w:pPr>
              <w:pStyle w:val="Compact"/>
              <w:jc w:val="left"/>
            </w:pPr>
            <w:r>
              <w:t xml:space="preserve">Environmental monitoring, disaster response, urban planning, military surveillance, and more.</w:t>
            </w:r>
          </w:p>
        </w:tc>
      </w:tr>
    </w:tbl>
    <w:bookmarkEnd w:id="116"/>
    <w:bookmarkStart w:id="117" w:name="practical-change-detection-with-sar"/>
    <w:p>
      <w:pPr>
        <w:pStyle w:val="Heading3"/>
      </w:pPr>
      <w:r>
        <w:t xml:space="preserve">10.1.3 Practical change detection with SAR</w:t>
      </w:r>
    </w:p>
    <w:tbl>
      <w:tblPr>
        <w:tblStyle w:val="Table"/>
        <w:tblW w:type="pct" w:w="5000"/>
        <w:tblLook w:firstRow="1" w:lastRow="0" w:firstColumn="0" w:lastColumn="0" w:noHBand="0" w:noVBand="0" w:val="0020"/>
      </w:tblPr>
      <w:tblGrid>
        <w:gridCol w:w="2381"/>
        <w:gridCol w:w="5538"/>
      </w:tblGrid>
      <w:tr>
        <w:trPr>
          <w:tblHeader w:val="true"/>
        </w:trPr>
        <w:tc>
          <w:tcPr/>
          <w:p>
            <w:pPr>
              <w:pStyle w:val="Compact"/>
              <w:jc w:val="left"/>
            </w:pPr>
            <w:r>
              <w:t xml:space="preserve">Topic</w:t>
            </w:r>
          </w:p>
        </w:tc>
        <w:tc>
          <w:tcPr/>
          <w:p>
            <w:pPr>
              <w:pStyle w:val="Compact"/>
              <w:jc w:val="left"/>
            </w:pPr>
            <w:r>
              <w:t xml:space="preserve">Key Points</w:t>
            </w:r>
          </w:p>
        </w:tc>
      </w:tr>
      <w:tr>
        <w:tc>
          <w:tcPr/>
          <w:p>
            <w:pPr>
              <w:pStyle w:val="Compact"/>
              <w:jc w:val="left"/>
            </w:pPr>
            <w:r>
              <w:t xml:space="preserve">Advantages of SAR for Change Detection</w:t>
            </w:r>
          </w:p>
        </w:tc>
        <w:tc>
          <w:tcPr/>
          <w:p>
            <w:pPr>
              <w:pStyle w:val="Compact"/>
              <w:jc w:val="left"/>
            </w:pPr>
            <w:r>
              <w:t xml:space="preserve">Can see through clouds unlike optical sensors; high temporal resolution.</w:t>
            </w:r>
          </w:p>
        </w:tc>
      </w:tr>
      <w:tr>
        <w:tc>
          <w:tcPr/>
          <w:p>
            <w:pPr>
              <w:pStyle w:val="Compact"/>
              <w:jc w:val="left"/>
            </w:pPr>
            <w:r>
              <w:t xml:space="preserve">Change Detection Techniques</w:t>
            </w:r>
          </w:p>
        </w:tc>
        <w:tc>
          <w:tcPr/>
          <w:p>
            <w:pPr>
              <w:pStyle w:val="Compact"/>
              <w:jc w:val="left"/>
            </w:pPr>
            <w:r>
              <w:t xml:space="preserve">Ratio or log ratios between two images; t-tests; standard deviation.</w:t>
            </w:r>
          </w:p>
        </w:tc>
      </w:tr>
      <w:tr>
        <w:tc>
          <w:tcPr/>
          <w:p>
            <w:pPr>
              <w:pStyle w:val="Compact"/>
              <w:jc w:val="left"/>
            </w:pPr>
            <w:r>
              <w:t xml:space="preserve">Fusion of SAR and Optical Data</w:t>
            </w:r>
          </w:p>
        </w:tc>
        <w:tc>
          <w:tcPr/>
          <w:p>
            <w:pPr>
              <w:pStyle w:val="Compact"/>
              <w:jc w:val="left"/>
            </w:pPr>
            <w:r>
              <w:t xml:space="preserve">Principal component analysis; object-based image analysis; intensity fusion.</w:t>
            </w:r>
          </w:p>
        </w:tc>
      </w:tr>
      <w:tr>
        <w:tc>
          <w:tcPr/>
          <w:p>
            <w:pPr>
              <w:pStyle w:val="Compact"/>
              <w:jc w:val="left"/>
            </w:pPr>
            <w:r>
              <w:t xml:space="preserve">Applications of Change Detection with SAR</w:t>
            </w:r>
          </w:p>
        </w:tc>
        <w:tc>
          <w:tcPr/>
          <w:p>
            <w:pPr>
              <w:pStyle w:val="Compact"/>
              <w:jc w:val="left"/>
            </w:pPr>
            <w:r>
              <w:t xml:space="preserve">Monitoring land use changes, detecting deforestation, identifying urban growth patterns, and more.</w:t>
            </w:r>
          </w:p>
        </w:tc>
      </w:tr>
    </w:tbl>
    <w:bookmarkEnd w:id="117"/>
    <w:bookmarkEnd w:id="118"/>
    <w:bookmarkStart w:id="119" w:name="application-3"/>
    <w:p>
      <w:pPr>
        <w:pStyle w:val="Heading2"/>
      </w:pPr>
      <w:r>
        <w:t xml:space="preserve">10.2 Application</w:t>
      </w:r>
    </w:p>
    <w:bookmarkEnd w:id="119"/>
    <w:bookmarkEnd w:id="120"/>
    <w:bookmarkStart w:id="121" w:name="summary-7"/>
    <w:p>
      <w:pPr>
        <w:pStyle w:val="Heading1"/>
      </w:pPr>
      <w:r>
        <w:t xml:space="preserve">11. Summary</w:t>
      </w:r>
    </w:p>
    <w:p>
      <w:pPr>
        <w:pStyle w:val="FirstParagraph"/>
      </w:pPr>
      <w:r>
        <w:t xml:space="preserve">In summary, this book has no content whatsoever.</w:t>
      </w:r>
    </w:p>
    <w:p>
      <w:pPr>
        <w:pStyle w:val="SourceCode"/>
      </w:pP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p>
    <w:p>
      <w:pPr>
        <w:pStyle w:val="SourceCode"/>
      </w:pPr>
      <w:r>
        <w:rPr>
          <w:rStyle w:val="VerbatimChar"/>
        </w:rPr>
        <w:t xml:space="preserve">2</w:t>
      </w:r>
    </w:p>
    <w:bookmarkEnd w:id="121"/>
    <w:bookmarkStart w:id="139" w:name="references"/>
    <w:p>
      <w:pPr>
        <w:pStyle w:val="Heading1"/>
      </w:pPr>
      <w:r>
        <w:t xml:space="preserve">References</w:t>
      </w:r>
    </w:p>
    <w:bookmarkStart w:id="138" w:name="refs"/>
    <w:bookmarkStart w:id="123" w:name="ref-google_machine_2023"/>
    <w:p>
      <w:pPr>
        <w:pStyle w:val="Bibliography"/>
      </w:pPr>
      <w:r>
        <w:t xml:space="preserve">Google. 2023a.</w:t>
      </w:r>
      <w:r>
        <w:t xml:space="preserve"> </w:t>
      </w:r>
      <w:r>
        <w:t xml:space="preserve">“Machine</w:t>
      </w:r>
      <w:r>
        <w:t xml:space="preserve"> </w:t>
      </w:r>
      <w:r>
        <w:t xml:space="preserve">Learning</w:t>
      </w:r>
      <w:r>
        <w:t xml:space="preserve"> </w:t>
      </w:r>
      <w:r>
        <w:t xml:space="preserve">in</w:t>
      </w:r>
      <w:r>
        <w:t xml:space="preserve"> </w:t>
      </w:r>
      <w:r>
        <w:t xml:space="preserve">Earth</w:t>
      </w:r>
      <w:r>
        <w:t xml:space="preserve"> </w:t>
      </w:r>
      <w:r>
        <w:t xml:space="preserve">Engine</w:t>
      </w:r>
      <w:r>
        <w:t xml:space="preserve"> </w:t>
      </w:r>
      <w:r>
        <w:t xml:space="preserve"> </w:t>
      </w:r>
      <w:r>
        <w:t xml:space="preserve">Google</w:t>
      </w:r>
      <w:r>
        <w:t xml:space="preserve"> </w:t>
      </w:r>
      <w:r>
        <w:t xml:space="preserve">Earth</w:t>
      </w:r>
      <w:r>
        <w:t xml:space="preserve"> </w:t>
      </w:r>
      <w:r>
        <w:t xml:space="preserve">Engine</w:t>
      </w:r>
      <w:r>
        <w:t xml:space="preserve">.”</w:t>
      </w:r>
      <w:r>
        <w:t xml:space="preserve"> </w:t>
      </w:r>
      <w:r>
        <w:rPr>
          <w:iCs/>
          <w:i/>
        </w:rPr>
        <w:t xml:space="preserve">Google Developers</w:t>
      </w:r>
      <w:r>
        <w:t xml:space="preserve">.</w:t>
      </w:r>
      <w:r>
        <w:t xml:space="preserve"> </w:t>
      </w:r>
      <w:hyperlink r:id="rId122">
        <w:r>
          <w:rPr>
            <w:rStyle w:val="Hyperlink"/>
          </w:rPr>
          <w:t xml:space="preserve">https://developers.google.com/earth-engine/guides/machine-learning</w:t>
        </w:r>
      </w:hyperlink>
      <w:r>
        <w:t xml:space="preserve">.</w:t>
      </w:r>
    </w:p>
    <w:bookmarkEnd w:id="123"/>
    <w:bookmarkStart w:id="125" w:name="ref-google_reducer_2023"/>
    <w:p>
      <w:pPr>
        <w:pStyle w:val="Bibliography"/>
      </w:pPr>
      <w:r>
        <w:t xml:space="preserve">———. 2023b.</w:t>
      </w:r>
      <w:r>
        <w:t xml:space="preserve"> </w:t>
      </w:r>
      <w:r>
        <w:t xml:space="preserve">“Reducer</w:t>
      </w:r>
      <w:r>
        <w:t xml:space="preserve"> </w:t>
      </w:r>
      <w:r>
        <w:t xml:space="preserve">Overview</w:t>
      </w:r>
      <w:r>
        <w:t xml:space="preserve"> </w:t>
      </w:r>
      <w:r>
        <w:t xml:space="preserve"> </w:t>
      </w:r>
      <w:r>
        <w:t xml:space="preserve">Google</w:t>
      </w:r>
      <w:r>
        <w:t xml:space="preserve"> </w:t>
      </w:r>
      <w:r>
        <w:t xml:space="preserve">Earth</w:t>
      </w:r>
      <w:r>
        <w:t xml:space="preserve"> </w:t>
      </w:r>
      <w:r>
        <w:t xml:space="preserve">Engine</w:t>
      </w:r>
      <w:r>
        <w:t xml:space="preserve">.”</w:t>
      </w:r>
      <w:r>
        <w:t xml:space="preserve"> </w:t>
      </w:r>
      <w:r>
        <w:rPr>
          <w:iCs/>
          <w:i/>
        </w:rPr>
        <w:t xml:space="preserve">Google Developers</w:t>
      </w:r>
      <w:r>
        <w:t xml:space="preserve">.</w:t>
      </w:r>
      <w:r>
        <w:t xml:space="preserve"> </w:t>
      </w:r>
      <w:hyperlink r:id="rId124">
        <w:r>
          <w:rPr>
            <w:rStyle w:val="Hyperlink"/>
          </w:rPr>
          <w:t xml:space="preserve">https://developers.google.com/earth-engine/guides/reducers_intro</w:t>
        </w:r>
      </w:hyperlink>
      <w:r>
        <w:t xml:space="preserve">.</w:t>
      </w:r>
    </w:p>
    <w:bookmarkEnd w:id="125"/>
    <w:bookmarkStart w:id="127" w:name="ref-gorelick_google_2017"/>
    <w:p>
      <w:pPr>
        <w:pStyle w:val="Bibliography"/>
      </w:pPr>
      <w:r>
        <w:t xml:space="preserve">Gorelick, Noel, Matt Hancher, Mike Dixon, Simon Ilyushchenko, David Thau, and Rebecca Moore. 2017.</w:t>
      </w:r>
      <w:r>
        <w:t xml:space="preserve"> </w:t>
      </w:r>
      <w:r>
        <w:t xml:space="preserve">“Google</w:t>
      </w:r>
      <w:r>
        <w:t xml:space="preserve"> </w:t>
      </w:r>
      <w:r>
        <w:t xml:space="preserve">Earth</w:t>
      </w:r>
      <w:r>
        <w:t xml:space="preserve"> </w:t>
      </w:r>
      <w:r>
        <w:t xml:space="preserve">Engine</w:t>
      </w:r>
      <w:r>
        <w:t xml:space="preserve">:</w:t>
      </w:r>
      <w:r>
        <w:t xml:space="preserve"> </w:t>
      </w:r>
      <w:r>
        <w:t xml:space="preserve">Planetary</w:t>
      </w:r>
      <w:r>
        <w:t xml:space="preserve">-Scale Geospatial Analysis for Everyone.”</w:t>
      </w:r>
      <w:r>
        <w:t xml:space="preserve"> </w:t>
      </w:r>
      <w:r>
        <w:rPr>
          <w:iCs/>
          <w:i/>
        </w:rPr>
        <w:t xml:space="preserve">Remote Sensing of Environment</w:t>
      </w:r>
      <w:r>
        <w:t xml:space="preserve">, Big</w:t>
      </w:r>
      <w:r>
        <w:t xml:space="preserve"> </w:t>
      </w:r>
      <w:r>
        <w:t xml:space="preserve">Remotely</w:t>
      </w:r>
      <w:r>
        <w:t xml:space="preserve"> </w:t>
      </w:r>
      <w:r>
        <w:t xml:space="preserve">Sensed</w:t>
      </w:r>
      <w:r>
        <w:t xml:space="preserve"> </w:t>
      </w:r>
      <w:r>
        <w:t xml:space="preserve">Data</w:t>
      </w:r>
      <w:r>
        <w:t xml:space="preserve">: Tools, applications and experiences, 202 (December): 18–27.</w:t>
      </w:r>
      <w:r>
        <w:t xml:space="preserve"> </w:t>
      </w:r>
      <w:hyperlink r:id="rId126">
        <w:r>
          <w:rPr>
            <w:rStyle w:val="Hyperlink"/>
          </w:rPr>
          <w:t xml:space="preserve">https://doi.org/10.1016/j.rse.2017.06.031</w:t>
        </w:r>
      </w:hyperlink>
      <w:r>
        <w:t xml:space="preserve">.</w:t>
      </w:r>
    </w:p>
    <w:bookmarkEnd w:id="127"/>
    <w:bookmarkStart w:id="128" w:name="ref-Jensen1986IntroductoryDI"/>
    <w:p>
      <w:pPr>
        <w:pStyle w:val="Bibliography"/>
      </w:pPr>
      <w:r>
        <w:t xml:space="preserve">Jensen, J. Robert. 1986.</w:t>
      </w:r>
      <w:r>
        <w:t xml:space="preserve"> </w:t>
      </w:r>
      <w:r>
        <w:t xml:space="preserve">“Introductory Digital Image Processing: A Remote Sensing Perspective.”</w:t>
      </w:r>
      <w:r>
        <w:t xml:space="preserve"> </w:t>
      </w:r>
      <w:r>
        <w:t xml:space="preserve">In.</w:t>
      </w:r>
    </w:p>
    <w:bookmarkEnd w:id="128"/>
    <w:bookmarkStart w:id="130" w:name="ref-maclachlan_sustainable_2021"/>
    <w:p>
      <w:pPr>
        <w:pStyle w:val="Bibliography"/>
      </w:pPr>
      <w:r>
        <w:t xml:space="preserve">MacLachlan, Andrew, Eloise Biggs, Gareth Roberts, and Bryan Boruff. 2021.</w:t>
      </w:r>
      <w:r>
        <w:t xml:space="preserve"> </w:t>
      </w:r>
      <w:r>
        <w:t xml:space="preserve">“Sustainable</w:t>
      </w:r>
      <w:r>
        <w:t xml:space="preserve"> </w:t>
      </w:r>
      <w:r>
        <w:t xml:space="preserve">City</w:t>
      </w:r>
      <w:r>
        <w:t xml:space="preserve"> </w:t>
      </w:r>
      <w:r>
        <w:t xml:space="preserve">Planning</w:t>
      </w:r>
      <w:r>
        <w:t xml:space="preserve">:</w:t>
      </w:r>
      <w:r>
        <w:t xml:space="preserve"> </w:t>
      </w:r>
      <w:r>
        <w:t xml:space="preserve">A</w:t>
      </w:r>
      <w:r>
        <w:t xml:space="preserve"> </w:t>
      </w:r>
      <w:r>
        <w:t xml:space="preserve">Data</w:t>
      </w:r>
      <w:r>
        <w:t xml:space="preserve">-</w:t>
      </w:r>
      <w:r>
        <w:t xml:space="preserve">Driven</w:t>
      </w:r>
      <w:r>
        <w:t xml:space="preserve"> </w:t>
      </w:r>
      <w:r>
        <w:t xml:space="preserve">Approach</w:t>
      </w:r>
      <w:r>
        <w:t xml:space="preserve"> </w:t>
      </w:r>
      <w:r>
        <w:t xml:space="preserve">for</w:t>
      </w:r>
      <w:r>
        <w:t xml:space="preserve"> </w:t>
      </w:r>
      <w:r>
        <w:t xml:space="preserve">Mitigating</w:t>
      </w:r>
      <w:r>
        <w:t xml:space="preserve"> </w:t>
      </w:r>
      <w:r>
        <w:t xml:space="preserve">Urban</w:t>
      </w:r>
      <w:r>
        <w:t xml:space="preserve"> </w:t>
      </w:r>
      <w:r>
        <w:t xml:space="preserve">Heat</w:t>
      </w:r>
      <w:r>
        <w:t xml:space="preserve">.”</w:t>
      </w:r>
      <w:r>
        <w:t xml:space="preserve"> </w:t>
      </w:r>
      <w:r>
        <w:rPr>
          <w:iCs/>
          <w:i/>
        </w:rPr>
        <w:t xml:space="preserve">Frontiers in Built Environment</w:t>
      </w:r>
      <w:r>
        <w:t xml:space="preserve"> </w:t>
      </w:r>
      <w:r>
        <w:t xml:space="preserve">6.</w:t>
      </w:r>
      <w:r>
        <w:t xml:space="preserve"> </w:t>
      </w:r>
      <w:hyperlink r:id="rId129">
        <w:r>
          <w:rPr>
            <w:rStyle w:val="Hyperlink"/>
          </w:rPr>
          <w:t xml:space="preserve">https://www.frontiersin.org/articles/10.3389/fbuil.2020.519599</w:t>
        </w:r>
      </w:hyperlink>
      <w:r>
        <w:t xml:space="preserve">.</w:t>
      </w:r>
    </w:p>
    <w:bookmarkEnd w:id="130"/>
    <w:bookmarkStart w:id="131" w:name="ref-nair2018automated"/>
    <w:p>
      <w:pPr>
        <w:pStyle w:val="Bibliography"/>
      </w:pPr>
      <w:r>
        <w:t xml:space="preserve">Nair, Rahul, P. J. Paul, and K. Poulose Jacob. 2018.</w:t>
      </w:r>
      <w:r>
        <w:t xml:space="preserve"> </w:t>
      </w:r>
      <w:r>
        <w:t xml:space="preserve">“Automated Image Annotation: A Survey.”</w:t>
      </w:r>
      <w:r>
        <w:t xml:space="preserve"> </w:t>
      </w:r>
      <w:r>
        <w:rPr>
          <w:iCs/>
          <w:i/>
        </w:rPr>
        <w:t xml:space="preserve">Journal of Imaging</w:t>
      </w:r>
      <w:r>
        <w:t xml:space="preserve"> </w:t>
      </w:r>
      <w:r>
        <w:t xml:space="preserve">4 (3): 37.</w:t>
      </w:r>
    </w:p>
    <w:bookmarkEnd w:id="131"/>
    <w:bookmarkStart w:id="133" w:name="ref-robison2018future"/>
    <w:p>
      <w:pPr>
        <w:pStyle w:val="Bibliography"/>
      </w:pPr>
      <w:r>
        <w:t xml:space="preserve">Robison, Keela. 2018.</w:t>
      </w:r>
      <w:r>
        <w:t xml:space="preserve"> </w:t>
      </w:r>
      <w:r>
        <w:t xml:space="preserve">“The Future of Image Annotation: Human in the Loop.”</w:t>
      </w:r>
      <w:r>
        <w:t xml:space="preserve"> </w:t>
      </w:r>
      <w:hyperlink r:id="rId132">
        <w:r>
          <w:rPr>
            <w:rStyle w:val="Hyperlink"/>
          </w:rPr>
          <w:t xml:space="preserve">https://lionbridge.ai/articles/the-future-of-image-annotation-human-in-the-loop/</w:t>
        </w:r>
      </w:hyperlink>
      <w:r>
        <w:t xml:space="preserve">.</w:t>
      </w:r>
    </w:p>
    <w:bookmarkEnd w:id="133"/>
    <w:bookmarkStart w:id="135" w:name="ref-saad_el_imanni_multispectral_2023"/>
    <w:p>
      <w:pPr>
        <w:pStyle w:val="Bibliography"/>
      </w:pPr>
      <w:r>
        <w:t xml:space="preserve">Saad El Imanni, Hajar, Abderrazak El Harti, El Mostafa Bachaoui, Hicham Mouncif, Fatine Eddassouqui, Mohamed Achraf Hasnai, and Moulay Ismail Zinelabidine. 2023.</w:t>
      </w:r>
      <w:r>
        <w:t xml:space="preserve"> </w:t>
      </w:r>
      <w:r>
        <w:t xml:space="preserve">“Multispectral</w:t>
      </w:r>
      <w:r>
        <w:t xml:space="preserve"> </w:t>
      </w:r>
      <w:r>
        <w:t xml:space="preserve">UAV</w:t>
      </w:r>
      <w:r>
        <w:t xml:space="preserve"> </w:t>
      </w:r>
      <w:r>
        <w:t xml:space="preserve">Data for Detection of Weeds in a Citrus Farm Using Machine Learning and</w:t>
      </w:r>
      <w:r>
        <w:t xml:space="preserve"> </w:t>
      </w:r>
      <w:r>
        <w:t xml:space="preserve">Google</w:t>
      </w:r>
      <w:r>
        <w:t xml:space="preserve"> </w:t>
      </w:r>
      <w:r>
        <w:t xml:space="preserve">Earth</w:t>
      </w:r>
      <w:r>
        <w:t xml:space="preserve"> </w:t>
      </w:r>
      <w:r>
        <w:t xml:space="preserve">Engine</w:t>
      </w:r>
      <w:r>
        <w:t xml:space="preserve">:</w:t>
      </w:r>
      <w:r>
        <w:t xml:space="preserve"> </w:t>
      </w:r>
      <w:r>
        <w:t xml:space="preserve">Case</w:t>
      </w:r>
      <w:r>
        <w:t xml:space="preserve"> </w:t>
      </w:r>
      <w:r>
        <w:t xml:space="preserve">Study of</w:t>
      </w:r>
      <w:r>
        <w:t xml:space="preserve"> </w:t>
      </w:r>
      <w:r>
        <w:t xml:space="preserve">Morocco</w:t>
      </w:r>
      <w:r>
        <w:t xml:space="preserve">.”</w:t>
      </w:r>
      <w:r>
        <w:t xml:space="preserve"> </w:t>
      </w:r>
      <w:r>
        <w:rPr>
          <w:iCs/>
          <w:i/>
        </w:rPr>
        <w:t xml:space="preserve">Remote Sensing Applications: Society and Environment</w:t>
      </w:r>
      <w:r>
        <w:t xml:space="preserve"> </w:t>
      </w:r>
      <w:r>
        <w:t xml:space="preserve">30 (April): 100941.</w:t>
      </w:r>
      <w:r>
        <w:t xml:space="preserve"> </w:t>
      </w:r>
      <w:hyperlink r:id="rId134">
        <w:r>
          <w:rPr>
            <w:rStyle w:val="Hyperlink"/>
          </w:rPr>
          <w:t xml:space="preserve">https://doi.org/10.1016/j.rsase.2023.100941</w:t>
        </w:r>
      </w:hyperlink>
      <w:r>
        <w:t xml:space="preserve">.</w:t>
      </w:r>
    </w:p>
    <w:bookmarkEnd w:id="135"/>
    <w:bookmarkStart w:id="137" w:name="ref-schulte_to_buhne_better_2018"/>
    <w:p>
      <w:pPr>
        <w:pStyle w:val="Bibliography"/>
      </w:pPr>
      <w:r>
        <w:t xml:space="preserve">Schulte to Bühne, Henrike, and Nathalie Pettorelli. 2018.</w:t>
      </w:r>
      <w:r>
        <w:t xml:space="preserve"> </w:t>
      </w:r>
      <w:r>
        <w:t xml:space="preserve">“Better Together:</w:t>
      </w:r>
      <w:r>
        <w:t xml:space="preserve"> </w:t>
      </w:r>
      <w:r>
        <w:t xml:space="preserve">Integrating</w:t>
      </w:r>
      <w:r>
        <w:t xml:space="preserve"> </w:t>
      </w:r>
      <w:r>
        <w:t xml:space="preserve">and Fusing Multispectral and Radar Satellite Imagery to Inform Biodiversity Monitoring, Ecological Research and Conservation Science.”</w:t>
      </w:r>
      <w:r>
        <w:t xml:space="preserve"> </w:t>
      </w:r>
      <w:r>
        <w:rPr>
          <w:iCs/>
          <w:i/>
        </w:rPr>
        <w:t xml:space="preserve">Methods in Ecology and Evolution</w:t>
      </w:r>
      <w:r>
        <w:t xml:space="preserve"> </w:t>
      </w:r>
      <w:r>
        <w:t xml:space="preserve">9 (4): 849–65.</w:t>
      </w:r>
      <w:r>
        <w:t xml:space="preserve"> </w:t>
      </w:r>
      <w:hyperlink r:id="rId136">
        <w:r>
          <w:rPr>
            <w:rStyle w:val="Hyperlink"/>
          </w:rPr>
          <w:t xml:space="preserve">https://doi.org/10.1111/2041-210X.12942</w:t>
        </w:r>
      </w:hyperlink>
      <w:r>
        <w:t xml:space="preserve">.</w:t>
      </w:r>
    </w:p>
    <w:bookmarkEnd w:id="137"/>
    <w:bookmarkEnd w:id="138"/>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51" Target="media/rId51.png" /><Relationship Type="http://schemas.openxmlformats.org/officeDocument/2006/relationships/image" Id="rId71" Target="media/rId71.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24" Target="media/rId24.png" /><Relationship Type="http://schemas.openxmlformats.org/officeDocument/2006/relationships/hyperlink" Id="rId122" Target="https://developers.google.com/earth-engine/guides/machine-learning" TargetMode="External" /><Relationship Type="http://schemas.openxmlformats.org/officeDocument/2006/relationships/hyperlink" Id="rId124" Target="https://developers.google.com/earth-engine/guides/reducers_intro" TargetMode="External" /><Relationship Type="http://schemas.openxmlformats.org/officeDocument/2006/relationships/hyperlink" Id="rId134" Target="https://doi.org/10.1016/j.rsase.2023.100941" TargetMode="External" /><Relationship Type="http://schemas.openxmlformats.org/officeDocument/2006/relationships/hyperlink" Id="rId126" Target="https://doi.org/10.1016/j.rse.2017.06.031" TargetMode="External" /><Relationship Type="http://schemas.openxmlformats.org/officeDocument/2006/relationships/hyperlink" Id="rId136" Target="https://doi.org/10.1111/2041-210X.12942" TargetMode="External" /><Relationship Type="http://schemas.openxmlformats.org/officeDocument/2006/relationships/hyperlink" Id="rId111" Target="https://ec.europa.eu/info/food-farming-fisheries/key-policies/common-agricultural-policy/cap-glance_en" TargetMode="External" /><Relationship Type="http://schemas.openxmlformats.org/officeDocument/2006/relationships/hyperlink" Id="rId132" Target="https://lionbridge.ai/articles/the-future-of-image-annotation-human-in-the-loop/" TargetMode="External" /><Relationship Type="http://schemas.openxmlformats.org/officeDocument/2006/relationships/hyperlink" Id="rId114" Target="https://unfccc.int/" TargetMode="External" /><Relationship Type="http://schemas.openxmlformats.org/officeDocument/2006/relationships/hyperlink" Id="rId129" Target="https://www.frontiersin.org/articles/10.3389/fbuil.2020.519599" TargetMode="External" /><Relationship Type="http://schemas.openxmlformats.org/officeDocument/2006/relationships/hyperlink" Id="rId112" Target="https://www.ramsar.org/" TargetMode="External" /><Relationship Type="http://schemas.openxmlformats.org/officeDocument/2006/relationships/hyperlink" Id="rId113" Target="https://www.un.org/Depts/los/convention_agreements/convention_overview_convention.htm" TargetMode="External" /><Relationship Type="http://schemas.openxmlformats.org/officeDocument/2006/relationships/hyperlink" Id="rId110" Target="https://www.undrr.org/implementing-sendai-framework/what-sendai-framework" TargetMode="External" /></Relationships>
</file>

<file path=word/_rels/footnotes.xml.rels><?xml version="1.0" encoding="UTF-8"?><Relationships xmlns="http://schemas.openxmlformats.org/package/2006/relationships"><Relationship Type="http://schemas.openxmlformats.org/officeDocument/2006/relationships/hyperlink" Id="rId122" Target="https://developers.google.com/earth-engine/guides/machine-learning" TargetMode="External" /><Relationship Type="http://schemas.openxmlformats.org/officeDocument/2006/relationships/hyperlink" Id="rId124" Target="https://developers.google.com/earth-engine/guides/reducers_intro" TargetMode="External" /><Relationship Type="http://schemas.openxmlformats.org/officeDocument/2006/relationships/hyperlink" Id="rId134" Target="https://doi.org/10.1016/j.rsase.2023.100941" TargetMode="External" /><Relationship Type="http://schemas.openxmlformats.org/officeDocument/2006/relationships/hyperlink" Id="rId126" Target="https://doi.org/10.1016/j.rse.2017.06.031" TargetMode="External" /><Relationship Type="http://schemas.openxmlformats.org/officeDocument/2006/relationships/hyperlink" Id="rId136" Target="https://doi.org/10.1111/2041-210X.12942" TargetMode="External" /><Relationship Type="http://schemas.openxmlformats.org/officeDocument/2006/relationships/hyperlink" Id="rId111" Target="https://ec.europa.eu/info/food-farming-fisheries/key-policies/common-agricultural-policy/cap-glance_en" TargetMode="External" /><Relationship Type="http://schemas.openxmlformats.org/officeDocument/2006/relationships/hyperlink" Id="rId132" Target="https://lionbridge.ai/articles/the-future-of-image-annotation-human-in-the-loop/" TargetMode="External" /><Relationship Type="http://schemas.openxmlformats.org/officeDocument/2006/relationships/hyperlink" Id="rId114" Target="https://unfccc.int/" TargetMode="External" /><Relationship Type="http://schemas.openxmlformats.org/officeDocument/2006/relationships/hyperlink" Id="rId129" Target="https://www.frontiersin.org/articles/10.3389/fbuil.2020.519599" TargetMode="External" /><Relationship Type="http://schemas.openxmlformats.org/officeDocument/2006/relationships/hyperlink" Id="rId112" Target="https://www.ramsar.org/" TargetMode="External" /><Relationship Type="http://schemas.openxmlformats.org/officeDocument/2006/relationships/hyperlink" Id="rId113" Target="https://www.un.org/Depts/los/convention_agreements/convention_overview_convention.htm" TargetMode="External" /><Relationship Type="http://schemas.openxmlformats.org/officeDocument/2006/relationships/hyperlink" Id="rId110" Target="https://www.undrr.org/implementing-sendai-framework/what-sendai-framewor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Diary - CASA0023</dc:title>
  <dc:creator>Tongmeng Xie</dc:creator>
  <cp:keywords/>
  <dcterms:created xsi:type="dcterms:W3CDTF">2023-03-17T01:17:39Z</dcterms:created>
  <dcterms:modified xsi:type="dcterms:W3CDTF">2023-03-17T01:17:39Z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2023/3/16</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