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6.png" ContentType="image/png"/>
  <Override PartName="/word/media/rId96.png" ContentType="image/png"/>
  <Override PartName="/word/media/rId51.png" ContentType="image/png"/>
  <Override PartName="/word/media/rId87.png" ContentType="image/png"/>
  <Override PartName="/word/media/rId46.png" ContentType="image/png"/>
  <Override PartName="/word/media/rId42.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1"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bookmarkEnd w:id="21"/>
    <w:bookmarkStart w:id="32" w:name="week-1"/>
    <w:p>
      <w:pPr>
        <w:pStyle w:val="Heading1"/>
      </w:pPr>
      <w:r>
        <w:t xml:space="preserve">1. Week 1</w:t>
      </w:r>
    </w:p>
    <w:bookmarkStart w:id="29" w:name="summary"/>
    <w:p>
      <w:pPr>
        <w:pStyle w:val="Heading2"/>
      </w:pPr>
      <w:r>
        <w:t xml:space="preserve">1.1 Summary</w:t>
      </w:r>
    </w:p>
    <w:p>
      <w:pPr>
        <w:pStyle w:val="FirstParagraph"/>
      </w:pPr>
      <w:r>
        <w:t xml:space="preserve">This section summarises the lecture content and a graph of feature space derived from practical in SNAP operations.</w:t>
      </w:r>
    </w:p>
    <w:p>
      <w:pPr>
        <w:pStyle w:val="BodyText"/>
      </w:pPr>
      <w:r>
        <w:t xml:space="preserve">Passive data: Energy usually in eletcromagnetic form e.g., human eyes</w:t>
      </w:r>
    </w:p>
    <w:p>
      <w:pPr>
        <w:pStyle w:val="BodyText"/>
      </w:pPr>
      <w:r>
        <w:t xml:space="preserve">Active data: Energy in addition in illumination . e.g., radar.</w:t>
      </w:r>
    </w:p>
    <w:p>
      <w:pPr>
        <w:pStyle w:val="BodyText"/>
      </w:pPr>
      <w:r>
        <w:t xml:space="preserve">How EM waves interact with Earth’s surface and atmosphere: Reflection, scattering, absorption</w:t>
      </w:r>
    </w:p>
    <w:p>
      <w:pPr>
        <w:pStyle w:val="BodyText"/>
      </w:pPr>
      <w:r>
        <w:t xml:space="preserve">single</w:t>
      </w:r>
    </w:p>
    <w:p>
      <w:pPr>
        <w:pStyle w:val="BodyText"/>
      </w:pPr>
      <w:r>
        <w:t xml:space="preserve">dual</w:t>
      </w:r>
    </w:p>
    <w:p>
      <w:pPr>
        <w:pStyle w:val="BodyText"/>
      </w:pPr>
      <w:r>
        <w:t xml:space="preserve">quad</w:t>
      </w:r>
    </w:p>
    <w:bookmarkStart w:id="22" w:name="remotely-sensed-data-usually-comes-in"/>
    <w:p>
      <w:pPr>
        <w:pStyle w:val="Heading3"/>
      </w:pPr>
      <w:r>
        <w:t xml:space="preserve">1.1.1 remotely-sensed data usually comes in</w:t>
      </w:r>
    </w:p>
    <w:p>
      <w:pPr>
        <w:pStyle w:val="FirstParagraph"/>
      </w:pPr>
      <w:r>
        <w:t xml:space="preserve">Raster: file</w:t>
      </w:r>
    </w:p>
    <w:p>
      <w:pPr>
        <w:pStyle w:val="BodyText"/>
      </w:pPr>
      <w:r>
        <w:t xml:space="preserve">types: BIL, BSQM BIP, GeoTIFF</w:t>
      </w:r>
    </w:p>
    <w:bookmarkEnd w:id="22"/>
    <w:bookmarkStart w:id="23" w:name="four-resolutions"/>
    <w:p>
      <w:pPr>
        <w:pStyle w:val="Heading3"/>
      </w:pPr>
      <w:r>
        <w:t xml:space="preserve">1.1.2 Four resolutions:</w:t>
      </w:r>
    </w:p>
    <w:p>
      <w:pPr>
        <w:pStyle w:val="FirstParagraph"/>
      </w:pPr>
      <w:r>
        <w:t xml:space="preserve">Spatial: ranging from 10 cm to several kilos</w:t>
      </w:r>
    </w:p>
    <w:p>
      <w:pPr>
        <w:pStyle w:val="BodyText"/>
      </w:pPr>
      <w:r>
        <w:t xml:space="preserve">Spectral: How many different spectral bands are there? (Every feature on earth has a unique spectral signature)</w:t>
      </w:r>
    </w:p>
    <w:p>
      <w:pPr>
        <w:pStyle w:val="BodyText"/>
      </w:pPr>
      <w:r>
        <w:t xml:space="preserve">(Atmospheric windows: )</w:t>
      </w:r>
    </w:p>
    <w:p>
      <w:pPr>
        <w:pStyle w:val="BodyText"/>
      </w:pPr>
      <w:r>
        <w:t xml:space="preserve">(Vegetation: red edge -- infra bands. APP: look at the infra band s of city to identify who has access to vegetation)</w:t>
      </w:r>
    </w:p>
    <w:p>
      <w:pPr>
        <w:pStyle w:val="BodyText"/>
      </w:pPr>
      <w:r>
        <w:t xml:space="preserve">Radiometric resolution: resolution of cell’s value</w:t>
      </w:r>
    </w:p>
    <w:p>
      <w:pPr>
        <w:pStyle w:val="BodyText"/>
      </w:pPr>
      <w:r>
        <w:t xml:space="preserve">Temporal resolution: ussualy inversly relate3 to pixel size (spatial)</w:t>
      </w:r>
    </w:p>
    <w:p>
      <w:pPr>
        <w:pStyle w:val="BodyText"/>
      </w:pPr>
      <w:r>
        <w:t xml:space="preserve">MODIS</w:t>
      </w:r>
    </w:p>
    <w:bookmarkEnd w:id="23"/>
    <w:bookmarkStart w:id="28" w:name="practical"/>
    <w:p>
      <w:pPr>
        <w:pStyle w:val="Heading3"/>
      </w:pPr>
      <w:r>
        <w:t xml:space="preserve">1.1.3 Practical</w:t>
      </w:r>
    </w:p>
    <w:tbl>
      <w:tblPr>
        <w:tblStyle w:val="Table"/>
        <w:tblW w:type="pct" w:w="5000"/>
        <w:tblLook w:firstRow="0" w:lastRow="0" w:firstColumn="0" w:lastColumn="0" w:noHBand="0" w:noVBand="0" w:val="0000"/>
      </w:tblPr>
      <w:tblGrid>
        <w:gridCol w:w="7920"/>
      </w:tblGrid>
      <w:tr>
        <w:tc>
          <w:tcPr/>
          <w:bookmarkStart w:id="27" w:name="fig-vege"/>
          <w:p>
            <w:pPr>
              <w:pStyle w:val="Figure"/>
              <w:jc w:val="center"/>
            </w:pPr>
            <w:r>
              <w:drawing>
                <wp:inline>
                  <wp:extent cx="5334000" cy="2507334"/>
                  <wp:effectExtent b="0" l="0" r="0" t="0"/>
                  <wp:docPr descr="" title="" id="25" name="Picture"/>
                  <a:graphic>
                    <a:graphicData uri="http://schemas.openxmlformats.org/drawingml/2006/picture">
                      <pic:pic>
                        <pic:nvPicPr>
                          <pic:cNvPr descr="./images/spectral_feature_space_vege_B04_B08.png" id="26" name="Picture"/>
                          <pic:cNvPicPr>
                            <a:picLocks noChangeArrowheads="1" noChangeAspect="1"/>
                          </pic:cNvPicPr>
                        </pic:nvPicPr>
                        <pic:blipFill>
                          <a:blip r:embed="rId24"/>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27"/>
        </w:tc>
      </w:tr>
    </w:tbl>
    <w:bookmarkEnd w:id="28"/>
    <w:bookmarkEnd w:id="29"/>
    <w:bookmarkStart w:id="30" w:name="application"/>
    <w:p>
      <w:pPr>
        <w:pStyle w:val="Heading2"/>
      </w:pPr>
      <w:r>
        <w:t xml:space="preserve">1.2 Application:</w:t>
      </w:r>
    </w:p>
    <w:p>
      <w:pPr>
        <w:pStyle w:val="FirstParagraph"/>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0"/>
    <w:bookmarkStart w:id="31" w:name="reflection"/>
    <w:p>
      <w:pPr>
        <w:pStyle w:val="Heading2"/>
      </w:pPr>
      <w:r>
        <w:t xml:space="preserve">1.3 Reflection</w:t>
      </w:r>
    </w:p>
    <w:p>
      <w:pPr>
        <w:pStyle w:val="FirstParagraph"/>
      </w:pPr>
      <w:r>
        <w:t xml:space="preserve">just state what interest you and why, as well as the application. Application: Context matters. Why useful? What had it assisted achieving. Mind map of concepts, to show understanding of data and workflow</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w:t>
      </w:r>
    </w:p>
    <w:p>
      <w:pPr>
        <w:pStyle w:val="BodyText"/>
      </w:pPr>
      <w:r>
        <w:t xml:space="preserve">When doing the operation in R on a script level, it becomes confusing where I put the data</w:t>
      </w:r>
    </w:p>
    <w:bookmarkEnd w:id="31"/>
    <w:bookmarkEnd w:id="32"/>
    <w:bookmarkStart w:id="33" w:name="week-2---portfolio"/>
    <w:p>
      <w:pPr>
        <w:pStyle w:val="Heading1"/>
      </w:pPr>
      <w:r>
        <w:t xml:space="preserve">2. 2. Week 2 - Portfolio</w:t>
      </w:r>
    </w:p>
    <w:bookmarkEnd w:id="33"/>
    <w:bookmarkStart w:id="58" w:name="week-3---remote-sensing-data"/>
    <w:p>
      <w:pPr>
        <w:pStyle w:val="Heading1"/>
      </w:pPr>
      <w:r>
        <w:t xml:space="preserve">3. Week 3 - Remote sensing data</w:t>
      </w:r>
    </w:p>
    <w:p>
      <w:pPr>
        <w:pStyle w:val="FirstParagraph"/>
      </w:pPr>
      <w:r>
        <w:t xml:space="preserve">In this week’s learning diary, we try to handle</w:t>
      </w:r>
    </w:p>
    <w:bookmarkStart w:id="41" w:name="summary-1"/>
    <w:p>
      <w:pPr>
        <w:pStyle w:val="Heading2"/>
      </w:pPr>
      <w:r>
        <w:t xml:space="preserve">3.1 Summary:</w:t>
      </w:r>
    </w:p>
    <w:bookmarkStart w:id="34"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34"/>
    <w:bookmarkStart w:id="35"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35"/>
    <w:bookmarkStart w:id="36"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01"/>
        </w:numPr>
      </w:pPr>
      <w:r>
        <w:t xml:space="preserve">Biophysical parameters needed (e.g. temperature, leaf area index, NDVI)</w:t>
      </w:r>
    </w:p>
    <w:p>
      <w:pPr>
        <w:numPr>
          <w:ilvl w:val="0"/>
          <w:numId w:val="1001"/>
        </w:numPr>
      </w:pPr>
      <w:r>
        <w:t xml:space="preserve">E.g. .. .NDVI is used in the Africa Famine Early Warning System and Livestock Early Warning System</w:t>
      </w:r>
    </w:p>
    <w:p>
      <w:pPr>
        <w:numPr>
          <w:ilvl w:val="0"/>
          <w:numId w:val="1001"/>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36"/>
    <w:bookmarkStart w:id="37"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37"/>
    <w:bookmarkStart w:id="38"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38"/>
    <w:bookmarkStart w:id="39"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39"/>
    <w:bookmarkStart w:id="40"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0"/>
    <w:bookmarkEnd w:id="41"/>
    <w:bookmarkStart w:id="56" w:name="Xcdbeae6e80f1fe79c579cc2b7c795bcf25a3f61"/>
    <w:p>
      <w:pPr>
        <w:pStyle w:val="Heading2"/>
      </w:pPr>
      <w:r>
        <w:t xml:space="preserve">3.2 Application - Discussing image fusion in one literature</w:t>
      </w:r>
    </w:p>
    <w:p>
      <w:pPr>
        <w:pStyle w:val="FirstParagraph"/>
      </w:pPr>
      <w:bookmarkStart w:id="45" w:name="fig-mindmap01"/>
      <w:r>
        <w:drawing>
          <wp:inline>
            <wp:extent cx="5334000" cy="4025089"/>
            <wp:effectExtent b="0" l="0" r="0" t="0"/>
            <wp:docPr descr="" title="" id="43" name="Picture"/>
            <a:graphic>
              <a:graphicData uri="http://schemas.openxmlformats.org/drawingml/2006/picture">
                <pic:pic>
                  <pic:nvPicPr>
                    <pic:cNvPr descr="./images/image-620878088.png" id="44" name="Picture"/>
                    <pic:cNvPicPr>
                      <a:picLocks noChangeArrowheads="1" noChangeAspect="1"/>
                    </pic:cNvPicPr>
                  </pic:nvPicPr>
                  <pic:blipFill>
                    <a:blip r:embed="rId42"/>
                    <a:stretch>
                      <a:fillRect/>
                    </a:stretch>
                  </pic:blipFill>
                  <pic:spPr bwMode="auto">
                    <a:xfrm>
                      <a:off x="0" y="0"/>
                      <a:ext cx="5334000" cy="4025089"/>
                    </a:xfrm>
                    <a:prstGeom prst="rect">
                      <a:avLst/>
                    </a:prstGeom>
                    <a:noFill/>
                    <a:ln w="9525">
                      <a:noFill/>
                      <a:headEnd/>
                      <a:tailEnd/>
                    </a:ln>
                  </pic:spPr>
                </pic:pic>
              </a:graphicData>
            </a:graphic>
          </wp:inline>
        </w:drawing>
      </w:r>
      <w:bookmarkEnd w:id="45"/>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0"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49" w:name="fig-fusiontech"/>
          <w:p>
            <w:pPr>
              <w:pStyle w:val="Figure"/>
              <w:jc w:val="center"/>
            </w:pPr>
            <w:r>
              <w:drawing>
                <wp:inline>
                  <wp:extent cx="5334000" cy="7873787"/>
                  <wp:effectExtent b="0" l="0" r="0" t="0"/>
                  <wp:docPr descr="" title="" id="47" name="Picture"/>
                  <a:graphic>
                    <a:graphicData uri="http://schemas.openxmlformats.org/drawingml/2006/picture">
                      <pic:pic>
                        <pic:nvPicPr>
                          <pic:cNvPr descr="./images/fusion%20techniques.png" id="48" name="Picture"/>
                          <pic:cNvPicPr>
                            <a:picLocks noChangeArrowheads="1" noChangeAspect="1"/>
                          </pic:cNvPicPr>
                        </pic:nvPicPr>
                        <pic:blipFill>
                          <a:blip r:embed="rId46"/>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49"/>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0"/>
    <w:bookmarkStart w:id="55"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54" w:name="fig-impleApproach"/>
          <w:p>
            <w:pPr>
              <w:pStyle w:val="Figure"/>
              <w:jc w:val="center"/>
            </w:pPr>
            <w:r>
              <w:drawing>
                <wp:inline>
                  <wp:extent cx="5334000" cy="3920717"/>
                  <wp:effectExtent b="0" l="0" r="0" t="0"/>
                  <wp:docPr descr="" title="" id="52" name="Picture"/>
                  <a:graphic>
                    <a:graphicData uri="http://schemas.openxmlformats.org/drawingml/2006/picture">
                      <pic:pic>
                        <pic:nvPicPr>
                          <pic:cNvPr descr="./images/Implementation%20approach.png" id="53" name="Picture"/>
                          <pic:cNvPicPr>
                            <a:picLocks noChangeArrowheads="1" noChangeAspect="1"/>
                          </pic:cNvPicPr>
                        </pic:nvPicPr>
                        <pic:blipFill>
                          <a:blip r:embed="rId51"/>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54"/>
        </w:tc>
      </w:tr>
    </w:tbl>
    <w:p>
      <w:pPr>
        <w:pStyle w:val="BodyText"/>
      </w:pPr>
      <w:r>
        <w:rPr>
          <w:iCs/>
          <w:i/>
          <w:bCs/>
          <w:b/>
        </w:rPr>
        <w:t xml:space="preserve">pixel-level</w:t>
      </w:r>
    </w:p>
    <w:p>
      <w:pPr>
        <w:numPr>
          <w:ilvl w:val="0"/>
          <w:numId w:val="1002"/>
        </w:numPr>
        <w:pStyle w:val="Compact"/>
      </w:pPr>
      <w:r>
        <w:t xml:space="preserve">Component substitution techniques: such as principal component analysis (PCA), Intensity-hue-saturation (IHS). </w:t>
      </w:r>
      <w:r>
        <w:br/>
      </w:r>
    </w:p>
    <w:p>
      <w:pPr>
        <w:numPr>
          <w:ilvl w:val="0"/>
          <w:numId w:val="1002"/>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02"/>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02"/>
        </w:numPr>
        <w:pStyle w:val="Compact"/>
      </w:pPr>
      <w:r>
        <w:t xml:space="preserve">Multi-resolution analysis, such as **Wavelet transformation. Decompose multispectral and radar imagery into their respective low- and high-frequency components</w:t>
      </w:r>
      <w:r>
        <w:br/>
      </w:r>
    </w:p>
    <w:p>
      <w:pPr>
        <w:numPr>
          <w:ilvl w:val="0"/>
          <w:numId w:val="1002"/>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55"/>
    <w:bookmarkEnd w:id="56"/>
    <w:bookmarkStart w:id="57"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57"/>
    <w:bookmarkEnd w:id="58"/>
    <w:bookmarkStart w:id="61" w:name="week4---policy-applications"/>
    <w:p>
      <w:pPr>
        <w:pStyle w:val="Heading1"/>
      </w:pPr>
      <w:r>
        <w:t xml:space="preserve">4. Week4 - Policy applications</w:t>
      </w:r>
    </w:p>
    <w:bookmarkStart w:id="60" w:name="summary-2"/>
    <w:p>
      <w:pPr>
        <w:pStyle w:val="Heading2"/>
      </w:pPr>
      <w:r>
        <w:t xml:space="preserve">4.1 Summary</w:t>
      </w:r>
    </w:p>
    <w:bookmarkStart w:id="59" w:name="sensor-data"/>
    <w:p>
      <w:pPr>
        <w:pStyle w:val="Heading3"/>
      </w:pPr>
      <w:r>
        <w:t xml:space="preserve">4.1.1 Sensor Data</w:t>
      </w:r>
    </w:p>
    <w:bookmarkEnd w:id="59"/>
    <w:bookmarkEnd w:id="60"/>
    <w:bookmarkEnd w:id="61"/>
    <w:bookmarkStart w:id="69"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03"/>
        </w:numPr>
        <w:pStyle w:val="Compact"/>
      </w:pPr>
      <w:r>
        <w:t xml:space="preserve">The set up of GEE, its terms and jargon, and client vs server side operations, see Table 1</w:t>
      </w:r>
    </w:p>
    <w:p>
      <w:pPr>
        <w:numPr>
          <w:ilvl w:val="0"/>
          <w:numId w:val="1003"/>
        </w:numPr>
        <w:pStyle w:val="Compact"/>
      </w:pPr>
      <w:r>
        <w:t xml:space="preserve">How GEE uses Javascript and how mapping functions are used instead of loops</w:t>
      </w:r>
    </w:p>
    <w:p>
      <w:pPr>
        <w:numPr>
          <w:ilvl w:val="0"/>
          <w:numId w:val="1003"/>
        </w:numPr>
        <w:pStyle w:val="Compact"/>
      </w:pPr>
      <w:r>
        <w:t xml:space="preserve">The concept of scale in GEE, which refers to both the volume of analysis and pixel resolution</w:t>
      </w:r>
    </w:p>
    <w:p>
      <w:pPr>
        <w:numPr>
          <w:ilvl w:val="0"/>
          <w:numId w:val="1003"/>
        </w:numPr>
        <w:pStyle w:val="Compact"/>
      </w:pPr>
      <w:r>
        <w:t xml:space="preserve">How GEE aggregates the image to fit a 256x256 grid.</w:t>
      </w:r>
    </w:p>
    <w:p>
      <w:pPr>
        <w:pStyle w:val="FirstParagraph"/>
      </w:pPr>
      <w:r>
        <w:t xml:space="preserve">Objects and methods in GEE are introduced:</w:t>
      </w:r>
    </w:p>
    <w:p>
      <w:pPr>
        <w:numPr>
          <w:ilvl w:val="0"/>
          <w:numId w:val="1004"/>
        </w:numPr>
        <w:pStyle w:val="Compact"/>
      </w:pPr>
      <w:r>
        <w:t xml:space="preserve">E.g. geometries, features, feature collections, and</w:t>
      </w:r>
    </w:p>
    <w:p>
      <w:pPr>
        <w:numPr>
          <w:ilvl w:val="0"/>
          <w:numId w:val="1004"/>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66" w:name="summary-3"/>
    <w:p>
      <w:pPr>
        <w:pStyle w:val="Heading2"/>
      </w:pPr>
      <w:r>
        <w:t xml:space="preserve">5.1 Summary</w:t>
      </w:r>
    </w:p>
    <w:bookmarkStart w:id="62" w:name="gee-basics"/>
    <w:p>
      <w:pPr>
        <w:pStyle w:val="Heading3"/>
      </w:pPr>
      <w:r>
        <w:t xml:space="preserve">5.1.1 GEE Basics</w:t>
      </w:r>
    </w:p>
    <w:p>
      <w:pPr>
        <w:pStyle w:val="FirstParagraph"/>
      </w:pPr>
      <w:r>
        <w:t xml:space="preserve">JavaScript, where objects are dictionaries:</w:t>
      </w:r>
    </w:p>
    <w:p>
      <w:pPr>
        <w:numPr>
          <w:ilvl w:val="0"/>
          <w:numId w:val="1005"/>
        </w:numPr>
        <w:pStyle w:val="Compact"/>
      </w:pPr>
      <w:r>
        <w:t xml:space="preserve">We have ee (EarthEngine), a powerful package. Anything starting with ee (proxy objects) are stored on the server.</w:t>
      </w:r>
    </w:p>
    <w:p>
      <w:pPr>
        <w:numPr>
          <w:ilvl w:val="0"/>
          <w:numId w:val="1005"/>
        </w:numPr>
        <w:pStyle w:val="Compact"/>
      </w:pPr>
      <w:r>
        <w:t xml:space="preserve">Problems:</w:t>
      </w:r>
    </w:p>
    <w:p>
      <w:pPr>
        <w:numPr>
          <w:ilvl w:val="1"/>
          <w:numId w:val="1006"/>
        </w:numPr>
        <w:pStyle w:val="Compact"/>
      </w:pPr>
      <w:r>
        <w:t xml:space="preserve">We don’t iterate the data on the server; instead, we map (using a mapping function) them into objects (variables) so we only load them once.</w:t>
      </w:r>
    </w:p>
    <w:p>
      <w:pPr>
        <w:numPr>
          <w:ilvl w:val="1"/>
          <w:numId w:val="1006"/>
        </w:numPr>
        <w:pStyle w:val="Compact"/>
      </w:pPr>
      <w:r>
        <w:t xml:space="preserve">There are also some sort of server-wide functions.</w:t>
      </w:r>
    </w:p>
    <w:p>
      <w:pPr>
        <w:numPr>
          <w:ilvl w:val="1"/>
          <w:numId w:val="1006"/>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07"/>
        </w:numPr>
        <w:pStyle w:val="Compact"/>
      </w:pPr>
      <w:r>
        <w:t xml:space="preserve">Pixel resolution, set by the output.</w:t>
      </w:r>
    </w:p>
    <w:p>
      <w:pPr>
        <w:numPr>
          <w:ilvl w:val="0"/>
          <w:numId w:val="1007"/>
        </w:numPr>
        <w:pStyle w:val="Compact"/>
      </w:pPr>
      <w:r>
        <w:t xml:space="preserve">GEE does resampling, aggregating your input to a 256*256, mainly down-sampling.</w:t>
      </w:r>
    </w:p>
    <w:p>
      <w:pPr>
        <w:pStyle w:val="FirstParagraph"/>
      </w:pPr>
      <w:r>
        <w:t xml:space="preserve">Table 1: Terms and Jargon Related to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Proxy objects</w:t>
            </w:r>
          </w:p>
        </w:tc>
        <w:tc>
          <w:tcPr/>
          <w:p>
            <w:pPr>
              <w:pStyle w:val="Compact"/>
              <w:jc w:val="left"/>
            </w:pPr>
            <w:r>
              <w:t xml:space="preserve">GEE objects that are stored on the server and have no data in the script.</w:t>
            </w:r>
          </w:p>
        </w:tc>
      </w:tr>
    </w:tbl>
    <w:p>
      <w:pPr>
        <w:pStyle w:val="BodyText"/>
      </w:pPr>
      <w:r>
        <w:t xml:space="preserve">Table 2: Differences between Client and Server Side in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Aspect</w:t>
            </w:r>
          </w:p>
        </w:tc>
        <w:tc>
          <w:tcPr/>
          <w:p>
            <w:pPr>
              <w:pStyle w:val="Compact"/>
              <w:jc w:val="left"/>
            </w:pPr>
            <w:r>
              <w:t xml:space="preserve">Definition</w:t>
            </w:r>
          </w:p>
        </w:tc>
      </w:tr>
      <w:tr>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r>
        <w:tc>
          <w:tcPr/>
          <w:p>
            <w:pPr>
              <w:pStyle w:val="Compact"/>
              <w:jc w:val="left"/>
            </w:pPr>
            <w:r>
              <w:t xml:space="preserve">Scale</w:t>
            </w:r>
          </w:p>
        </w:tc>
        <w:tc>
          <w:tcPr/>
          <w:p>
            <w:pPr>
              <w:pStyle w:val="Compact"/>
              <w:jc w:val="left"/>
            </w:pPr>
            <w:r>
              <w:t xml:space="preserve">Scale refers to pixel resolution in GEE. The scale is set by the output, not the input, and Earth Engine selects the pyramid with the closest scale to analysis.</w:t>
            </w:r>
          </w:p>
        </w:tc>
      </w:tr>
    </w:tbl>
    <w:bookmarkEnd w:id="62"/>
    <w:bookmarkStart w:id="63" w:name="gee-objects"/>
    <w:p>
      <w:pPr>
        <w:pStyle w:val="Heading3"/>
      </w:pPr>
      <w:r>
        <w:t xml:space="preserve">5.1.2 GEE Objects</w:t>
      </w:r>
    </w:p>
    <w:p>
      <w:pPr>
        <w:pStyle w:val="FirstParagraph"/>
      </w:pPr>
      <w:r>
        <w:t xml:space="preserve">Objects:</w:t>
      </w:r>
    </w:p>
    <w:p>
      <w:pPr>
        <w:numPr>
          <w:ilvl w:val="0"/>
          <w:numId w:val="1008"/>
        </w:numPr>
        <w:pStyle w:val="Compact"/>
      </w:pPr>
      <w:r>
        <w:t xml:space="preserve">Images (Rasters), geometry, ImageCol, features, featureCol, joins, arrays, chart.</w:t>
      </w:r>
    </w:p>
    <w:p>
      <w:pPr>
        <w:pStyle w:val="FirstParagraph"/>
      </w:pPr>
      <w:r>
        <w:t xml:space="preserve">Table 3: Geometry Types and Features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Type of Geometry</w:t>
            </w:r>
          </w:p>
        </w:tc>
        <w:tc>
          <w:tcPr/>
          <w:p>
            <w:pPr>
              <w:pStyle w:val="Compact"/>
              <w:jc w:val="left"/>
            </w:pPr>
            <w:r>
              <w:t xml:space="preserve">Description</w:t>
            </w:r>
          </w:p>
        </w:tc>
      </w:tr>
      <w:tr>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MultiGeometry</w:t>
            </w:r>
          </w:p>
        </w:tc>
        <w:tc>
          <w:tcPr/>
          <w:p>
            <w:pPr>
              <w:pStyle w:val="Compact"/>
              <w:jc w:val="left"/>
            </w:pPr>
            <w:r>
              <w:t xml:space="preserve">A collection of different types of geometries</w:t>
            </w:r>
          </w:p>
        </w:tc>
      </w:tr>
    </w:tbl>
    <w:bookmarkEnd w:id="63"/>
    <w:bookmarkStart w:id="64" w:name="gee-processes-and-applicationsoutputs"/>
    <w:p>
      <w:pPr>
        <w:pStyle w:val="Heading3"/>
      </w:pPr>
      <w:r>
        <w:t xml:space="preserve">5.1.3 GEE Processes and Applications/Outputs</w:t>
      </w:r>
    </w:p>
    <w:p>
      <w:pPr>
        <w:pStyle w:val="FirstParagraph"/>
      </w:pPr>
      <w:r>
        <w:t xml:space="preserve">GEE applications:</w:t>
      </w:r>
    </w:p>
    <w:p>
      <w:pPr>
        <w:numPr>
          <w:ilvl w:val="0"/>
          <w:numId w:val="1009"/>
        </w:numPr>
        <w:pStyle w:val="Compact"/>
      </w:pPr>
      <w:r>
        <w:t xml:space="preserve">Reducing types.</w:t>
      </w:r>
    </w:p>
    <w:p>
      <w:pPr>
        <w:numPr>
          <w:ilvl w:val="0"/>
          <w:numId w:val="1009"/>
        </w:numPr>
        <w:pStyle w:val="Compact"/>
      </w:pPr>
      <w:r>
        <w:t xml:space="preserve">Different to filterBounds() that filters the area of interest, to do zonal statistics, we have reduceRegion(), where regions are subcategories of the area of interest.</w:t>
      </w:r>
    </w:p>
    <w:p>
      <w:pPr>
        <w:numPr>
          <w:ilvl w:val="0"/>
          <w:numId w:val="1009"/>
        </w:numPr>
        <w:pStyle w:val="Compact"/>
      </w:pPr>
      <w:r>
        <w:t xml:space="preserve">Also, we have reduceNeighborhood(), which is a bit like a kind of image enhancement.</w:t>
      </w:r>
    </w:p>
    <w:p>
      <w:pPr>
        <w:pStyle w:val="FirstParagraph"/>
      </w:pPr>
      <w:r>
        <w:t xml:space="preserve">Linear Regressions:</w:t>
      </w:r>
    </w:p>
    <w:p>
      <w:pPr>
        <w:numPr>
          <w:ilvl w:val="0"/>
          <w:numId w:val="1010"/>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10"/>
        </w:numPr>
        <w:pStyle w:val="Compact"/>
      </w:pPr>
      <w:r>
        <w:t xml:space="preserve">Something about constant bound.</w:t>
      </w:r>
    </w:p>
    <w:p>
      <w:pPr>
        <w:pStyle w:val="FirstParagraph"/>
      </w:pPr>
      <w:r>
        <w:t xml:space="preserve">Joins:</w:t>
      </w:r>
    </w:p>
    <w:p>
      <w:pPr>
        <w:numPr>
          <w:ilvl w:val="0"/>
          <w:numId w:val="1011"/>
        </w:numPr>
        <w:pStyle w:val="Compact"/>
      </w:pPr>
      <w:r>
        <w:t xml:space="preserve">In GEE, everything, e.g. within a buffer, intersect, etc. needs the mediation of Join (apply()).</w:t>
      </w:r>
    </w:p>
    <w:p>
      <w:pPr>
        <w:numPr>
          <w:ilvl w:val="0"/>
          <w:numId w:val="1011"/>
        </w:numPr>
        <w:pStyle w:val="Compact"/>
      </w:pPr>
      <w:r>
        <w:t xml:space="preserve">To perform joins, we need to put data into Filter().</w:t>
      </w:r>
    </w:p>
    <w:p>
      <w:pPr>
        <w:pStyle w:val="FirstParagraph"/>
      </w:pPr>
      <w:r>
        <w:t xml:space="preserve">Classifiers:</w:t>
      </w:r>
    </w:p>
    <w:p>
      <w:pPr>
        <w:numPr>
          <w:ilvl w:val="0"/>
          <w:numId w:val="1012"/>
        </w:numPr>
        <w:pStyle w:val="Compact"/>
      </w:pPr>
      <w:r>
        <w:t xml:space="preserve">Per-pixel</w:t>
      </w:r>
    </w:p>
    <w:p>
      <w:pPr>
        <w:numPr>
          <w:ilvl w:val="0"/>
          <w:numId w:val="1012"/>
        </w:numPr>
        <w:pStyle w:val="Compact"/>
      </w:pPr>
      <w:r>
        <w:t xml:space="preserve">sub-pixel</w:t>
      </w:r>
    </w:p>
    <w:p>
      <w:pPr>
        <w:pStyle w:val="FirstParagraph"/>
      </w:pPr>
      <w:r>
        <w:t xml:space="preserve">Table 4: GEE Processes and Applications/Outputs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64"/>
    <w:bookmarkStart w:id="65" w:name="limitations"/>
    <w:p>
      <w:pPr>
        <w:pStyle w:val="Heading3"/>
      </w:pPr>
      <w:r>
        <w:t xml:space="preserve">5.1.4 Limitations</w:t>
      </w:r>
    </w:p>
    <w:p>
      <w:pPr>
        <w:pStyle w:val="FirstParagraph"/>
      </w:pPr>
      <w:r>
        <w:t xml:space="preserve">No support for phase data, needs SNAP.</w:t>
      </w:r>
    </w:p>
    <w:bookmarkEnd w:id="65"/>
    <w:bookmarkEnd w:id="66"/>
    <w:bookmarkStart w:id="67" w:name="application-1"/>
    <w:p>
      <w:pPr>
        <w:pStyle w:val="Heading2"/>
      </w:pPr>
      <w:r>
        <w:t xml:space="preserve">5.2 Application</w:t>
      </w:r>
    </w:p>
    <w:bookmarkEnd w:id="67"/>
    <w:bookmarkStart w:id="68" w:name="reflection-2"/>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is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bookmarkEnd w:id="68"/>
    <w:bookmarkEnd w:id="69"/>
    <w:bookmarkStart w:id="86" w:name="wk6-classification"/>
    <w:p>
      <w:pPr>
        <w:pStyle w:val="Heading1"/>
      </w:pPr>
      <w:r>
        <w:t xml:space="preserve">6. Wk6 Classification</w:t>
      </w:r>
    </w:p>
    <w:bookmarkStart w:id="85" w:name="summary-4"/>
    <w:p>
      <w:pPr>
        <w:pStyle w:val="Heading2"/>
      </w:pPr>
      <w:r>
        <w:t xml:space="preserve">6.1 Summary</w:t>
      </w:r>
    </w:p>
    <w:tbl>
      <w:tblPr>
        <w:tblStyle w:val="Table"/>
        <w:tblW w:type="pct" w:w="5000"/>
        <w:tblLook w:firstRow="1" w:lastRow="0" w:firstColumn="0" w:lastColumn="0" w:noHBand="0" w:noVBand="0" w:val="0020"/>
      </w:tblPr>
      <w:tblGrid>
        <w:gridCol w:w="2033"/>
        <w:gridCol w:w="5886"/>
      </w:tblGrid>
      <w:tr>
        <w:trPr>
          <w:tblHeader w:val="true"/>
        </w:trPr>
        <w:tc>
          <w:tcPr/>
          <w:p>
            <w:pPr>
              <w:pStyle w:val="Compact"/>
              <w:jc w:val="left"/>
            </w:pPr>
            <w:r>
              <w:t xml:space="preserve">Information</w:t>
            </w:r>
          </w:p>
        </w:tc>
        <w:tc>
          <w:tcPr/>
          <w:p>
            <w:pPr>
              <w:pStyle w:val="Compact"/>
              <w:jc w:val="left"/>
            </w:pPr>
            <w:r>
              <w:t xml:space="preserve">Summary</w:t>
            </w:r>
          </w:p>
        </w:tc>
      </w:tr>
      <w:tr>
        <w:tc>
          <w:tcPr/>
          <w:p>
            <w:pPr>
              <w:pStyle w:val="Compact"/>
              <w:jc w:val="left"/>
            </w:pPr>
            <w:r>
              <w:t xml:space="preserve">Purpose of classification</w:t>
            </w:r>
          </w:p>
        </w:tc>
        <w:tc>
          <w:tcPr/>
          <w:p>
            <w:pPr>
              <w:pStyle w:val="Compact"/>
              <w:jc w:val="left"/>
            </w:pPr>
            <w:r>
              <w:t xml:space="preserve">To subset data into classes or values, such as landcover or estimating values like GCSE scores or pollution.</w:t>
            </w:r>
          </w:p>
        </w:tc>
      </w:tr>
      <w:tr>
        <w:tc>
          <w:tcPr/>
          <w:p>
            <w:pPr>
              <w:pStyle w:val="Compact"/>
              <w:jc w:val="left"/>
            </w:pPr>
            <w:r>
              <w:t xml:space="preserve">Different classification methods</w:t>
            </w:r>
          </w:p>
        </w:tc>
        <w:tc>
          <w:tcPr/>
          <w:p>
            <w:pPr>
              <w:pStyle w:val="Compact"/>
              <w:jc w:val="left"/>
            </w:pPr>
            <w:r>
              <w:t xml:space="preserve">Essentially slice the data in different ways.</w:t>
            </w:r>
          </w:p>
        </w:tc>
      </w:tr>
      <w:tr>
        <w:tc>
          <w:tcPr/>
          <w:p>
            <w:pPr>
              <w:pStyle w:val="Compact"/>
              <w:jc w:val="left"/>
            </w:pPr>
            <w:r>
              <w:t xml:space="preserve">Complexity of classification methods</w:t>
            </w:r>
          </w:p>
        </w:tc>
        <w:tc>
          <w:tcPr/>
          <w:p>
            <w:pPr>
              <w:pStyle w:val="Compact"/>
              <w:jc w:val="left"/>
            </w:pPr>
            <w:r>
              <w:t xml:space="preserve">They can often be made to appear more complicated than they are.</w:t>
            </w:r>
          </w:p>
        </w:tc>
      </w:tr>
      <w:tr>
        <w:tc>
          <w:tcPr/>
          <w:p>
            <w:pPr>
              <w:pStyle w:val="Compact"/>
              <w:jc w:val="left"/>
            </w:pPr>
            <w:r>
              <w:t xml:space="preserve">Controlling classifiers</w:t>
            </w:r>
          </w:p>
        </w:tc>
        <w:tc>
          <w:tcPr/>
          <w:p>
            <w:pPr>
              <w:pStyle w:val="Compact"/>
              <w:jc w:val="left"/>
            </w:pPr>
            <w:r>
              <w:t xml:space="preserve">Can be done using hyperparameters.</w:t>
            </w:r>
          </w:p>
        </w:tc>
      </w:tr>
      <w:tr>
        <w:tc>
          <w:tcPr/>
          <w:p>
            <w:pPr>
              <w:pStyle w:val="Compact"/>
              <w:jc w:val="left"/>
            </w:pPr>
            <w:r>
              <w:t xml:space="preserve">Desired outcome of classifiers</w:t>
            </w:r>
          </w:p>
        </w:tc>
        <w:tc>
          <w:tcPr/>
          <w:p>
            <w:pPr>
              <w:pStyle w:val="Compact"/>
              <w:jc w:val="left"/>
            </w:pPr>
            <w:r>
              <w:t xml:space="preserve">Can range from a single tree to a decision hyperplane boundary in multiple dimensions.</w:t>
            </w:r>
          </w:p>
        </w:tc>
      </w:tr>
    </w:tbl>
    <w:bookmarkStart w:id="70" w:name="ml-methods-in-eo-data-classification"/>
    <w:p>
      <w:pPr>
        <w:pStyle w:val="Heading3"/>
      </w:pPr>
      <w:r>
        <w:t xml:space="preserve">6.1.1 ML methods in EO data classification</w:t>
      </w:r>
    </w:p>
    <w:p>
      <w:pPr>
        <w:pStyle w:val="FirstParagraph"/>
      </w:pPr>
      <w:r>
        <w:t xml:space="preserve">Table 1: Supervised Classification Methods</w:t>
      </w:r>
    </w:p>
    <w:tbl>
      <w:tblPr>
        <w:tblStyle w:val="Table"/>
        <w:tblW w:type="pct" w:w="5000"/>
        <w:tblLook w:firstRow="1" w:lastRow="0" w:firstColumn="0" w:lastColumn="0" w:noHBand="0" w:noVBand="0" w:val="0020"/>
      </w:tblPr>
      <w:tblGrid>
        <w:gridCol w:w="1766"/>
        <w:gridCol w:w="6153"/>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Maximum Likelihood</w:t>
            </w:r>
          </w:p>
        </w:tc>
        <w:tc>
          <w:tcPr/>
          <w:p>
            <w:pPr>
              <w:pStyle w:val="Compact"/>
              <w:jc w:val="left"/>
            </w:pPr>
            <w:r>
              <w:t xml:space="preserve">A statistical method used to estimate the parameters of a probability distribution based on observed data.</w:t>
            </w:r>
          </w:p>
        </w:tc>
      </w:tr>
      <w:tr>
        <w:tc>
          <w:tcPr/>
          <w:p>
            <w:pPr>
              <w:pStyle w:val="Compact"/>
              <w:jc w:val="left"/>
            </w:pPr>
            <w:r>
              <w:t xml:space="preserve">Support Vector Machines (SVM)</w:t>
            </w:r>
          </w:p>
        </w:tc>
        <w:tc>
          <w:tcPr/>
          <w:p>
            <w:pPr>
              <w:pStyle w:val="Compact"/>
              <w:jc w:val="left"/>
            </w:pPr>
            <w:r>
              <w:t xml:space="preserve">A supervised learning algorithm that finds the best hyperplane to separate data into different classes.</w:t>
            </w:r>
          </w:p>
        </w:tc>
      </w:tr>
    </w:tbl>
    <w:p>
      <w:pPr>
        <w:pStyle w:val="BodyText"/>
      </w:pPr>
      <w:r>
        <w:t xml:space="preserve">Table 2: Unsupervised Classification Methods</w:t>
      </w:r>
    </w:p>
    <w:tbl>
      <w:tblPr>
        <w:tblStyle w:val="Table"/>
        <w:tblW w:type="pct" w:w="5000"/>
        <w:tblLook w:firstRow="1" w:lastRow="0" w:firstColumn="0" w:lastColumn="0" w:noHBand="0" w:noVBand="0" w:val="0020"/>
      </w:tblPr>
      <w:tblGrid>
        <w:gridCol w:w="1584"/>
        <w:gridCol w:w="6336"/>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Density Slicing</w:t>
            </w:r>
          </w:p>
        </w:tc>
        <w:tc>
          <w:tcPr/>
          <w:p>
            <w:pPr>
              <w:pStyle w:val="Compact"/>
              <w:jc w:val="left"/>
            </w:pPr>
            <w:r>
              <w:t xml:space="preserve">Divides the range of pixel values into equal intervals and assigns each interval a unique class value.</w:t>
            </w:r>
          </w:p>
        </w:tc>
      </w:tr>
      <w:tr>
        <w:tc>
          <w:tcPr/>
          <w:p>
            <w:pPr>
              <w:pStyle w:val="Compact"/>
              <w:jc w:val="left"/>
            </w:pPr>
            <w:r>
              <w:t xml:space="preserve">Parallelpiped</w:t>
            </w:r>
          </w:p>
        </w:tc>
        <w:tc>
          <w:tcPr/>
          <w:p>
            <w:pPr>
              <w:pStyle w:val="Compact"/>
              <w:jc w:val="left"/>
            </w:pPr>
            <w:r>
              <w:t xml:space="preserve">Uses a set of user-defined ranges for each band to define class boundaries in multi-dimensional space.</w:t>
            </w:r>
          </w:p>
        </w:tc>
      </w:tr>
      <w:tr>
        <w:tc>
          <w:tcPr/>
          <w:p>
            <w:pPr>
              <w:pStyle w:val="Compact"/>
              <w:jc w:val="left"/>
            </w:pPr>
            <w:r>
              <w:t xml:space="preserve">Minimum Distance to Mean</w:t>
            </w:r>
          </w:p>
        </w:tc>
        <w:tc>
          <w:tcPr/>
          <w:p>
            <w:pPr>
              <w:pStyle w:val="Compact"/>
              <w:jc w:val="left"/>
            </w:pPr>
            <w:r>
              <w:t xml:space="preserve">Assigns each pixel to the class with the closest mean value in multi-dimensional space.</w:t>
            </w:r>
          </w:p>
        </w:tc>
      </w:tr>
      <w:tr>
        <w:tc>
          <w:tcPr/>
          <w:p>
            <w:pPr>
              <w:pStyle w:val="Compact"/>
              <w:jc w:val="left"/>
            </w:pPr>
            <w:r>
              <w:t xml:space="preserve">Nearest Neighbor</w:t>
            </w:r>
          </w:p>
        </w:tc>
        <w:tc>
          <w:tcPr/>
          <w:p>
            <w:pPr>
              <w:pStyle w:val="Compact"/>
              <w:jc w:val="left"/>
            </w:pPr>
            <w:r>
              <w:t xml:space="preserve">Assigns each pixel to the class of its nearest neighbor in multi-dimensional space.</w:t>
            </w:r>
          </w:p>
        </w:tc>
      </w:tr>
    </w:tbl>
    <w:p>
      <w:pPr>
        <w:pStyle w:val="BodyText"/>
      </w:pPr>
      <w:r>
        <w:t xml:space="preserve">Table 3: Other Machine Learning Methods</w:t>
      </w:r>
    </w:p>
    <w:tbl>
      <w:tblPr>
        <w:tblStyle w:val="Table"/>
        <w:tblW w:type="pct" w:w="5000"/>
        <w:tblLook w:firstRow="1" w:lastRow="0" w:firstColumn="0" w:lastColumn="0" w:noHBand="0" w:noVBand="0" w:val="0020"/>
      </w:tblPr>
      <w:tblGrid>
        <w:gridCol w:w="1530"/>
        <w:gridCol w:w="639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Artificial Neural Networks (ANN)</w:t>
            </w:r>
          </w:p>
        </w:tc>
        <w:tc>
          <w:tcPr/>
          <w:p>
            <w:pPr>
              <w:pStyle w:val="Compact"/>
              <w:jc w:val="left"/>
            </w:pPr>
            <w:r>
              <w:t xml:space="preserve">A set of algorithms inspired by the structure and function of biological neural networks, used for pattern recognition and prediction tasks.</w:t>
            </w:r>
          </w:p>
        </w:tc>
      </w:tr>
    </w:tbl>
    <w:bookmarkEnd w:id="70"/>
    <w:bookmarkStart w:id="71" w:name="X565aa8eb489ce0631bda820fce98408ad2b1496"/>
    <w:p>
      <w:pPr>
        <w:pStyle w:val="Heading3"/>
      </w:pPr>
      <w:r>
        <w:t xml:space="preserve">6.1.2 Pros and cons - Supervised vs. Unsupervised</w:t>
      </w:r>
    </w:p>
    <w:p>
      <w:pPr>
        <w:pStyle w:val="FirstParagraph"/>
      </w:pPr>
      <w:r>
        <w:t xml:space="preserve">Table 1: Supervised vs. Unsupervised Classification</w:t>
      </w:r>
    </w:p>
    <w:tbl>
      <w:tblPr>
        <w:tblStyle w:val="Table"/>
        <w:tblW w:type="pct" w:w="5000"/>
        <w:tblLook w:firstRow="1" w:lastRow="0" w:firstColumn="0" w:lastColumn="0" w:noHBand="0" w:noVBand="0" w:val="0020"/>
      </w:tblPr>
      <w:tblGrid>
        <w:gridCol w:w="408"/>
        <w:gridCol w:w="4981"/>
        <w:gridCol w:w="2529"/>
      </w:tblGrid>
      <w:tr>
        <w:trPr>
          <w:tblHeader w:val="true"/>
        </w:trPr>
        <w:tc>
          <w:tcPr/>
          <w:p>
            <w:pPr>
              <w:pStyle w:val="Compact"/>
              <w:jc w:val="left"/>
            </w:pPr>
            <w:r>
              <w:t xml:space="preserve">Classification Type</w:t>
            </w:r>
          </w:p>
        </w:tc>
        <w:tc>
          <w:tcPr/>
          <w:p>
            <w:pPr>
              <w:pStyle w:val="Compact"/>
              <w:jc w:val="left"/>
            </w:pPr>
            <w:r>
              <w:t xml:space="preserve">Definition</w:t>
            </w:r>
          </w:p>
        </w:tc>
        <w:tc>
          <w:tcPr/>
          <w:p>
            <w:pPr>
              <w:pStyle w:val="Compact"/>
              <w:jc w:val="left"/>
            </w:pPr>
            <w:r>
              <w:t xml:space="preserve">Method</w:t>
            </w:r>
          </w:p>
        </w:tc>
      </w:tr>
      <w:tr>
        <w:tc>
          <w:tcPr/>
          <w:p>
            <w:pPr>
              <w:pStyle w:val="Compact"/>
              <w:jc w:val="left"/>
            </w:pPr>
            <w:r>
              <w:t xml:space="preserve">Supervised</w:t>
            </w:r>
          </w:p>
        </w:tc>
        <w:tc>
          <w:tcPr/>
          <w:p>
            <w:pPr>
              <w:pStyle w:val="Compact"/>
              <w:jc w:val="left"/>
            </w:pPr>
            <w:r>
              <w:t xml:space="preserve">Classifier learns patterns in the data and uses that to place labels onto new data. Pattern vector is used to classify the image. Usually, pixels are treated in isolation but as we have seen - contextual (neighboring pixels), objects (polygons), texture.</w:t>
            </w:r>
          </w:p>
        </w:tc>
        <w:tc>
          <w:tcPr/>
          <w:p>
            <w:pPr>
              <w:pStyle w:val="Compact"/>
              <w:jc w:val="left"/>
            </w:pPr>
            <w:r>
              <w:t xml:space="preserve">Pattern recognition or machine learning</w:t>
            </w:r>
          </w:p>
        </w:tc>
      </w:tr>
      <w:tr>
        <w:tc>
          <w:tcPr/>
          <w:p>
            <w:pPr>
              <w:pStyle w:val="Compact"/>
              <w:jc w:val="left"/>
            </w:pPr>
            <w:r>
              <w:t xml:space="preserve">Unsupervised</w:t>
            </w:r>
          </w:p>
        </w:tc>
        <w:tc>
          <w:tcPr/>
          <w:p>
            <w:pPr>
              <w:pStyle w:val="Compact"/>
              <w:jc w:val="left"/>
            </w:pPr>
            <w:r>
              <w:t xml:space="preserve">Identifies land cover classes that aren’t known a priori (before) and tells the computer to cluster based on info it has (e.g. bands) and label the clusters.</w:t>
            </w:r>
          </w:p>
        </w:tc>
        <w:tc>
          <w:tcPr/>
          <w:p>
            <w:pPr>
              <w:pStyle w:val="Compact"/>
              <w:jc w:val="left"/>
            </w:pPr>
            <w:r>
              <w:t xml:space="preserve">Density slicing, parallelpiped, minimum distance to mean, nearest neighbor, neural networks, machine learning / expert systems*</w:t>
            </w:r>
          </w:p>
        </w:tc>
      </w:tr>
    </w:tbl>
    <w:bookmarkEnd w:id="71"/>
    <w:bookmarkStart w:id="80" w:name="overfitting"/>
    <w:p>
      <w:pPr>
        <w:pStyle w:val="Heading3"/>
      </w:pPr>
      <w:r>
        <w:t xml:space="preserve">6.1.3 Overfitting</w:t>
      </w:r>
    </w:p>
    <w:p>
      <w:pPr>
        <w:numPr>
          <w:ilvl w:val="0"/>
          <w:numId w:val="1013"/>
        </w:numPr>
        <w:pStyle w:val="Compact"/>
      </w:pPr>
      <w:r>
        <w:t xml:space="preserve">Bias refers to the difference between the predicted value and the true value. When a model has high bias, it is too simple and may underfit the data. On the other hand, when a model has low bias, it may overfit the data.</w:t>
      </w:r>
    </w:p>
    <w:p>
      <w:pPr>
        <w:numPr>
          <w:ilvl w:val="0"/>
          <w:numId w:val="1013"/>
        </w:numPr>
        <w:pStyle w:val="Compact"/>
      </w:pPr>
      <w:r>
        <w:t xml:space="preserve">Variance, on the other hand, refers to the variability of a model for a given point. When a model has high variance, it is too complex and may overfit the data. This means that it will perform well on the training data but poorly on new data.</w:t>
      </w:r>
    </w:p>
    <w:tbl>
      <w:tblPr>
        <w:tblStyle w:val="Table"/>
        <w:tblW w:type="pct" w:w="5000"/>
        <w:tblLook w:firstRow="0" w:lastRow="0" w:firstColumn="0" w:lastColumn="0" w:noHBand="0" w:noVBand="0" w:val="0000"/>
      </w:tblPr>
      <w:tblGrid>
        <w:gridCol w:w="7920"/>
      </w:tblGrid>
      <w:tr>
        <w:tc>
          <w:tcPr/>
          <w:bookmarkStart w:id="75" w:name="fig-BiasVar01"/>
          <w:p>
            <w:pPr>
              <w:pStyle w:val="Figure"/>
              <w:jc w:val="center"/>
            </w:pPr>
            <w:r>
              <w:drawing>
                <wp:inline>
                  <wp:extent cx="5334000" cy="4342758"/>
                  <wp:effectExtent b="0" l="0" r="0" t="0"/>
                  <wp:docPr descr="" title="" id="73" name="Picture"/>
                  <a:graphic>
                    <a:graphicData uri="http://schemas.openxmlformats.org/drawingml/2006/picture">
                      <pic:pic>
                        <pic:nvPicPr>
                          <pic:cNvPr descr="./images/Bias-variance-01.png" id="74" name="Picture"/>
                          <pic:cNvPicPr>
                            <a:picLocks noChangeArrowheads="1" noChangeAspect="1"/>
                          </pic:cNvPicPr>
                        </pic:nvPicPr>
                        <pic:blipFill>
                          <a:blip r:embed="rId72"/>
                          <a:stretch>
                            <a:fillRect/>
                          </a:stretch>
                        </pic:blipFill>
                        <pic:spPr bwMode="auto">
                          <a:xfrm>
                            <a:off x="0" y="0"/>
                            <a:ext cx="5334000" cy="4342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Credit: CASA0006</w:t>
            </w:r>
          </w:p>
          <w:bookmarkEnd w:id="75"/>
        </w:tc>
      </w:tr>
    </w:tbl>
    <w:p>
      <w:pPr>
        <w:pStyle w:val="BodyText"/>
      </w:pPr>
      <w:r>
        <w:t xml:space="preserve">In general, overfitting occurs when there is a trade-off between bias and variance. A model with high bias and low variance will underfit the data, while a model with low bias and high variance will overfit the data. The goal is to find a balance between bias and variance that results in good performance on both training and test data.</w:t>
      </w:r>
    </w:p>
    <w:tbl>
      <w:tblPr>
        <w:tblStyle w:val="Table"/>
        <w:tblW w:type="pct" w:w="5000"/>
        <w:tblLook w:firstRow="0" w:lastRow="0" w:firstColumn="0" w:lastColumn="0" w:noHBand="0" w:noVBand="0" w:val="0000"/>
      </w:tblPr>
      <w:tblGrid>
        <w:gridCol w:w="7920"/>
      </w:tblGrid>
      <w:tr>
        <w:tc>
          <w:tcPr/>
          <w:bookmarkStart w:id="79" w:name="fig-BiasVar02"/>
          <w:p>
            <w:pPr>
              <w:pStyle w:val="Figure"/>
              <w:jc w:val="center"/>
            </w:pPr>
            <w:r>
              <w:drawing>
                <wp:inline>
                  <wp:extent cx="5334000" cy="2037843"/>
                  <wp:effectExtent b="0" l="0" r="0" t="0"/>
                  <wp:docPr descr="" title="" id="77" name="Picture"/>
                  <a:graphic>
                    <a:graphicData uri="http://schemas.openxmlformats.org/drawingml/2006/picture">
                      <pic:pic>
                        <pic:nvPicPr>
                          <pic:cNvPr descr="./images/Bias-variance-02.png" id="78" name="Picture"/>
                          <pic:cNvPicPr>
                            <a:picLocks noChangeArrowheads="1" noChangeAspect="1"/>
                          </pic:cNvPicPr>
                        </pic:nvPicPr>
                        <pic:blipFill>
                          <a:blip r:embed="rId76"/>
                          <a:stretch>
                            <a:fillRect/>
                          </a:stretch>
                        </pic:blipFill>
                        <pic:spPr bwMode="auto">
                          <a:xfrm>
                            <a:off x="0" y="0"/>
                            <a:ext cx="5334000" cy="2037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 CASA0006</w:t>
            </w:r>
          </w:p>
          <w:bookmarkEnd w:id="79"/>
        </w:tc>
      </w:tr>
    </w:tbl>
    <w:bookmarkEnd w:id="80"/>
    <w:bookmarkStart w:id="84" w:name="Xf20c740d0db1c79dae67268940fffd72087c6d5"/>
    <w:p>
      <w:pPr>
        <w:pStyle w:val="Heading3"/>
      </w:pPr>
      <w:r>
        <w:t xml:space="preserve">6.1.4 Outlook on the development of EO data Classification</w:t>
      </w:r>
    </w:p>
    <w:p>
      <w:pPr>
        <w:pStyle w:val="FirstParagraph"/>
      </w:pPr>
      <w:r>
        <w:t xml:space="preserve">Earth Observation (EO) data classification is continually evolving, with new technologies and techniques leading to several anticipated future developments:</w:t>
      </w:r>
    </w:p>
    <w:p>
      <w:pPr>
        <w:numPr>
          <w:ilvl w:val="0"/>
          <w:numId w:val="1014"/>
        </w:numPr>
        <w:pStyle w:val="Compact"/>
      </w:pPr>
      <w:r>
        <w:t xml:space="preserve">Multi-source data fusion:</w:t>
      </w:r>
    </w:p>
    <w:p>
      <w:pPr>
        <w:numPr>
          <w:ilvl w:val="1"/>
          <w:numId w:val="1015"/>
        </w:numPr>
        <w:pStyle w:val="Compact"/>
      </w:pPr>
      <w:r>
        <w:t xml:space="preserve">Integrating data from multiple sources like satellite imagery, LiDAR, and ground-based sensors will become more prevalent. This fusion enhances classification accuracy and offers comprehensive Earth’s surface information, improving decision-making and monitoring. For example, the European Union’s</w:t>
      </w:r>
      <w:r>
        <w:t xml:space="preserve"> </w:t>
      </w:r>
      <w:hyperlink r:id="rId81">
        <w:r>
          <w:rPr>
            <w:rStyle w:val="Hyperlink"/>
            <w:bCs/>
            <w:b/>
          </w:rPr>
          <w:t xml:space="preserve">Copernicus Programme</w:t>
        </w:r>
      </w:hyperlink>
      <w:r>
        <w:t xml:space="preserve"> </w:t>
      </w:r>
      <w:r>
        <w:t xml:space="preserve">could use this in providing free data from various satellite missions and sensors for environmental monitoring, disaster management, and urban planning.</w:t>
      </w:r>
    </w:p>
    <w:p>
      <w:pPr>
        <w:numPr>
          <w:ilvl w:val="0"/>
          <w:numId w:val="1014"/>
        </w:numPr>
        <w:pStyle w:val="Compact"/>
      </w:pPr>
      <w:r>
        <w:t xml:space="preserve">Multi-temporal analysis:</w:t>
      </w:r>
    </w:p>
    <w:p>
      <w:pPr>
        <w:numPr>
          <w:ilvl w:val="1"/>
          <w:numId w:val="1016"/>
        </w:numPr>
        <w:pStyle w:val="Compact"/>
      </w:pPr>
      <w:r>
        <w:t xml:space="preserve">Sophisticated multi-temporal analysis techniques will be increasingly used to monitor changes in land cover, vegetation, and other features over time. This enables accurate and efficient change detection and monitoring of phenomena like urbanization, deforestation, and climate change. This aligns with the</w:t>
      </w:r>
      <w:r>
        <w:t xml:space="preserve"> </w:t>
      </w:r>
      <w:hyperlink r:id="rId82">
        <w:r>
          <w:rPr>
            <w:rStyle w:val="Hyperlink"/>
            <w:bCs/>
            <w:b/>
          </w:rPr>
          <w:t xml:space="preserve">REDD+</w:t>
        </w:r>
      </w:hyperlink>
      <w:r>
        <w:t xml:space="preserve"> </w:t>
      </w:r>
      <w:r>
        <w:t xml:space="preserve">initiative under the United Nations Framework Convention on Climate Change (UNFCCC), which uses multi-temporal analysis to monitor forest cover changes and evaluate policy effectiveness in reducing greenhouse gas emissions from deforestation and forest degradation.</w:t>
      </w:r>
    </w:p>
    <w:p>
      <w:pPr>
        <w:numPr>
          <w:ilvl w:val="0"/>
          <w:numId w:val="1014"/>
        </w:numPr>
        <w:pStyle w:val="Compact"/>
      </w:pPr>
      <w:r>
        <w:t xml:space="preserve">Cloud-based processing:</w:t>
      </w:r>
    </w:p>
    <w:p>
      <w:pPr>
        <w:numPr>
          <w:ilvl w:val="1"/>
          <w:numId w:val="1017"/>
        </w:numPr>
        <w:pStyle w:val="Compact"/>
      </w:pPr>
      <w:r>
        <w:t xml:space="preserve">The growth of cloud-based platforms, such as Google Earth Engine, allows for more efficient and scalable EO data processing workflows. This accessibility enables researchers and organizations to innovate in classification techniques and applications. The National Oceanic and Atmospheric Administration’s (NOAA)</w:t>
      </w:r>
      <w:r>
        <w:t xml:space="preserve"> </w:t>
      </w:r>
      <w:hyperlink r:id="rId83">
        <w:r>
          <w:rPr>
            <w:rStyle w:val="Hyperlink"/>
            <w:bCs/>
            <w:b/>
          </w:rPr>
          <w:t xml:space="preserve">Big Data Project</w:t>
        </w:r>
      </w:hyperlink>
      <w:r>
        <w:t xml:space="preserve"> </w:t>
      </w:r>
      <w:r>
        <w:t xml:space="preserve">aims to make vast amounts of environmental data accessible and usable in the cloud, fostering innovation in developing new applications and services.</w:t>
      </w:r>
    </w:p>
    <w:p>
      <w:pPr>
        <w:pStyle w:val="FirstParagraph"/>
      </w:pPr>
      <w:r>
        <w:t xml:space="preserve">These advancements will provide comprehensive and timely information about Earth’s surface, informing policies and strategies in areas such as environmental management, disaster response, and urban planning.</w:t>
      </w:r>
    </w:p>
    <w:bookmarkEnd w:id="84"/>
    <w:bookmarkEnd w:id="85"/>
    <w:bookmarkEnd w:id="86"/>
    <w:bookmarkStart w:id="107"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104" w:name="summary-5"/>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90" w:name="fig-mindmap"/>
      <w:r>
        <w:drawing>
          <wp:inline>
            <wp:extent cx="5334000" cy="3588373"/>
            <wp:effectExtent b="0" l="0" r="0" t="0"/>
            <wp:docPr descr="Classification in Remote Sensing" title="" id="88" name="Picture"/>
            <a:graphic>
              <a:graphicData uri="http://schemas.openxmlformats.org/drawingml/2006/picture">
                <pic:pic>
                  <pic:nvPicPr>
                    <pic:cNvPr descr="./images/MindMap.png" id="89" name="Picture"/>
                    <pic:cNvPicPr>
                      <a:picLocks noChangeArrowheads="1" noChangeAspect="1"/>
                    </pic:cNvPicPr>
                  </pic:nvPicPr>
                  <pic:blipFill>
                    <a:blip r:embed="rId87"/>
                    <a:stretch>
                      <a:fillRect/>
                    </a:stretch>
                  </pic:blipFill>
                  <pic:spPr bwMode="auto">
                    <a:xfrm>
                      <a:off x="0" y="0"/>
                      <a:ext cx="5334000" cy="3588373"/>
                    </a:xfrm>
                    <a:prstGeom prst="rect">
                      <a:avLst/>
                    </a:prstGeom>
                    <a:noFill/>
                    <a:ln w="9525">
                      <a:noFill/>
                      <a:headEnd/>
                      <a:tailEnd/>
                    </a:ln>
                  </pic:spPr>
                </pic:pic>
              </a:graphicData>
            </a:graphic>
          </wp:inline>
        </w:drawing>
      </w:r>
      <w:bookmarkEnd w:id="90"/>
    </w:p>
    <w:bookmarkStart w:id="91" w:name="data"/>
    <w:p>
      <w:pPr>
        <w:pStyle w:val="Heading3"/>
      </w:pPr>
      <w:r>
        <w:t xml:space="preserve">7.1.1 Data</w:t>
      </w:r>
    </w:p>
    <w:p>
      <w:pPr>
        <w:numPr>
          <w:ilvl w:val="0"/>
          <w:numId w:val="1018"/>
        </w:numPr>
      </w:pPr>
      <w:r>
        <w:t xml:space="preserve">Surface Reflectance (SR)</w:t>
      </w:r>
    </w:p>
    <w:p>
      <w:pPr>
        <w:numPr>
          <w:ilvl w:val="0"/>
          <w:numId w:val="1018"/>
        </w:numPr>
      </w:pPr>
      <w:r>
        <w:t xml:space="preserve">Top of Atmosphere (TOA)</w:t>
      </w:r>
    </w:p>
    <w:p>
      <w:pPr>
        <w:pStyle w:val="FirstParagraph"/>
      </w:pPr>
      <w:r>
        <w:t xml:space="preserve">A mixed way of doing urban recognition</w:t>
      </w:r>
    </w:p>
    <w:bookmarkEnd w:id="91"/>
    <w:bookmarkStart w:id="92"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92"/>
    <w:bookmarkStart w:id="94"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93"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93"/>
    <w:bookmarkEnd w:id="94"/>
    <w:bookmarkStart w:id="95" w:name="accuracy-assessment"/>
    <w:p>
      <w:pPr>
        <w:pStyle w:val="Heading3"/>
      </w:pPr>
      <w:r>
        <w:t xml:space="preserve">7.1.4 Accuracy assessment</w:t>
      </w:r>
    </w:p>
    <w:p>
      <w:pPr>
        <w:numPr>
          <w:ilvl w:val="0"/>
          <w:numId w:val="1019"/>
        </w:numPr>
      </w:pPr>
      <w:r>
        <w:t xml:space="preserve">Producer accuracy: Recall</w:t>
      </w:r>
    </w:p>
    <w:p>
      <w:pPr>
        <w:numPr>
          <w:ilvl w:val="0"/>
          <w:numId w:val="1019"/>
        </w:numPr>
      </w:pPr>
      <w:r>
        <w:t xml:space="preserve">User’s accuracy: Precision</w:t>
      </w:r>
    </w:p>
    <w:p>
      <w:pPr>
        <w:numPr>
          <w:ilvl w:val="0"/>
          <w:numId w:val="1019"/>
        </w:numPr>
      </w:pPr>
      <w:r>
        <w:t xml:space="preserve">Overall accuracy: not equivalent to F1</w:t>
      </w:r>
    </w:p>
    <w:p>
      <w:pPr>
        <w:numPr>
          <w:ilvl w:val="0"/>
          <w:numId w:val="1019"/>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20"/>
        </w:numPr>
      </w:pPr>
      <w:r>
        <w:t xml:space="preserve">F1: issue: TN not considered; Recall and precision are not equally important yet equally weighted in F1</w:t>
      </w:r>
    </w:p>
    <w:p>
      <w:pPr>
        <w:numPr>
          <w:ilvl w:val="0"/>
          <w:numId w:val="1020"/>
        </w:numPr>
      </w:pPr>
      <w:r>
        <w:t xml:space="preserve">Receiver Operating Characteristic Curve: True positive rate and false positive rate are all good. We want to maximise the area under the curve in a True positive rate vs false positive rate plot.</w:t>
      </w:r>
    </w:p>
    <w:bookmarkEnd w:id="95"/>
    <w:bookmarkStart w:id="100" w:name="workflow"/>
    <w:p>
      <w:pPr>
        <w:pStyle w:val="Heading3"/>
      </w:pPr>
      <w:r>
        <w:t xml:space="preserve">7.1.5 Workflow</w:t>
      </w:r>
    </w:p>
    <w:p>
      <w:pPr>
        <w:numPr>
          <w:ilvl w:val="0"/>
          <w:numId w:val="1021"/>
        </w:numPr>
      </w:pPr>
      <w:r>
        <w:t xml:space="preserve">(Potentially use unsupervised classification to understand your data</w:t>
      </w:r>
    </w:p>
    <w:p>
      <w:pPr>
        <w:numPr>
          <w:ilvl w:val="0"/>
          <w:numId w:val="1021"/>
        </w:numPr>
      </w:pPr>
      <w:r>
        <w:t xml:space="preserve">Class definition (Potentially use unsupervised classification)</w:t>
      </w:r>
    </w:p>
    <w:p>
      <w:pPr>
        <w:numPr>
          <w:ilvl w:val="0"/>
          <w:numId w:val="1021"/>
        </w:numPr>
      </w:pPr>
      <w:r>
        <w:t xml:space="preserve">Preprocessing</w:t>
      </w:r>
    </w:p>
    <w:p>
      <w:pPr>
        <w:numPr>
          <w:ilvl w:val="0"/>
          <w:numId w:val="1021"/>
        </w:numPr>
      </w:pPr>
      <w:r>
        <w:t xml:space="preserve">Training</w:t>
      </w:r>
    </w:p>
    <w:p>
      <w:pPr>
        <w:numPr>
          <w:ilvl w:val="0"/>
          <w:numId w:val="1021"/>
        </w:numPr>
      </w:pPr>
      <w:r>
        <w:t xml:space="preserve">Pixel Assignment</w:t>
      </w:r>
    </w:p>
    <w:p>
      <w:pPr>
        <w:numPr>
          <w:ilvl w:val="0"/>
          <w:numId w:val="1021"/>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99" w:name="fig-flowchart"/>
          <w:p>
            <w:pPr>
              <w:pStyle w:val="Figure"/>
              <w:jc w:val="center"/>
            </w:pPr>
            <w:r>
              <w:drawing>
                <wp:inline>
                  <wp:extent cx="5334000" cy="9684734"/>
                  <wp:effectExtent b="0" l="0" r="0" t="0"/>
                  <wp:docPr descr="" title="" id="97" name="Picture"/>
                  <a:graphic>
                    <a:graphicData uri="http://schemas.openxmlformats.org/drawingml/2006/picture">
                      <pic:pic>
                        <pic:nvPicPr>
                          <pic:cNvPr descr="./images/FlowChart.png" id="98" name="Picture"/>
                          <pic:cNvPicPr>
                            <a:picLocks noChangeArrowheads="1" noChangeAspect="1"/>
                          </pic:cNvPicPr>
                        </pic:nvPicPr>
                        <pic:blipFill>
                          <a:blip r:embed="rId96"/>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99"/>
        </w:tc>
      </w:tr>
    </w:tbl>
    <w:bookmarkEnd w:id="100"/>
    <w:bookmarkStart w:id="102"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101"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101"/>
    <w:bookmarkEnd w:id="102"/>
    <w:bookmarkStart w:id="103"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103"/>
    <w:bookmarkEnd w:id="104"/>
    <w:bookmarkStart w:id="105"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105"/>
    <w:bookmarkStart w:id="106" w:name="reflection-3"/>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106"/>
    <w:bookmarkEnd w:id="107"/>
    <w:bookmarkStart w:id="108" w:name="section"/>
    <w:p>
      <w:pPr>
        <w:pStyle w:val="Heading1"/>
      </w:pPr>
      <w:r>
        <w:t xml:space="preserve">8. </w:t>
      </w:r>
    </w:p>
    <w:bookmarkEnd w:id="108"/>
    <w:bookmarkStart w:id="125" w:name="week8---temperature-and-policy"/>
    <w:p>
      <w:pPr>
        <w:pStyle w:val="Heading1"/>
      </w:pPr>
      <w:r>
        <w:t xml:space="preserve">9. Week8 - T</w:t>
      </w:r>
      <w:r>
        <w:rPr>
          <w:bCs/>
          <w:b/>
        </w:rPr>
        <w:t xml:space="preserve">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15" w:name="summary-6"/>
    <w:p>
      <w:pPr>
        <w:pStyle w:val="Heading2"/>
      </w:pPr>
      <w:r>
        <w:t xml:space="preserve">9.1 Summary</w:t>
      </w:r>
    </w:p>
    <w:bookmarkStart w:id="114" w:name="Xf1601bdf9a6da49f4bf579e5c88a25b27663356"/>
    <w:p>
      <w:pPr>
        <w:pStyle w:val="Heading3"/>
      </w:pPr>
      <w:r>
        <w:t xml:space="preserve">9.1.1 Urban Heating Islands (UHI) problem and plans</w:t>
      </w:r>
    </w:p>
    <w:bookmarkStart w:id="109" w:name="causes"/>
    <w:p>
      <w:pPr>
        <w:pStyle w:val="Heading4"/>
      </w:pPr>
      <w:r>
        <w:t xml:space="preserve">9.1.1.1 Causes</w:t>
      </w:r>
    </w:p>
    <w:p>
      <w:pPr>
        <w:pStyle w:val="FirstParagraph"/>
      </w:pPr>
      <w:r>
        <w:t xml:space="preserve">Urban areas have comparatively higher atmospheric and surface temperatures than surrounding rural areas, mainly due to</w:t>
      </w:r>
    </w:p>
    <w:p>
      <w:pPr>
        <w:numPr>
          <w:ilvl w:val="0"/>
          <w:numId w:val="1022"/>
        </w:numPr>
        <w:pStyle w:val="Compact"/>
      </w:pPr>
      <w:r>
        <w:t xml:space="preserve">More dark surfaces that retain heat</w:t>
      </w:r>
    </w:p>
    <w:p>
      <w:pPr>
        <w:numPr>
          <w:ilvl w:val="0"/>
          <w:numId w:val="1022"/>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109"/>
    <w:bookmarkStart w:id="110" w:name="cost"/>
    <w:p>
      <w:pPr>
        <w:pStyle w:val="Heading4"/>
      </w:pPr>
      <w:r>
        <w:t xml:space="preserve">9.1.1.2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110"/>
    <w:bookmarkStart w:id="113" w:name="plans"/>
    <w:p>
      <w:pPr>
        <w:pStyle w:val="Heading4"/>
      </w:pPr>
      <w:r>
        <w:t xml:space="preserve">9.1.1.3 Plans</w:t>
      </w:r>
    </w:p>
    <w:bookmarkStart w:id="111" w:name="global"/>
    <w:p>
      <w:pPr>
        <w:pStyle w:val="Heading5"/>
      </w:pPr>
      <w:r>
        <w:t xml:space="preserve">9.1.1.3.1 Global</w:t>
      </w:r>
    </w:p>
    <w:bookmarkEnd w:id="111"/>
    <w:bookmarkStart w:id="112" w:name="local"/>
    <w:p>
      <w:pPr>
        <w:pStyle w:val="Heading5"/>
      </w:pPr>
      <w:r>
        <w:t xml:space="preserve">9.1.1.3.2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112"/>
    <w:bookmarkEnd w:id="113"/>
    <w:bookmarkEnd w:id="114"/>
    <w:bookmarkEnd w:id="115"/>
    <w:bookmarkStart w:id="119" w:name="application-2"/>
    <w:p>
      <w:pPr>
        <w:pStyle w:val="Heading2"/>
      </w:pPr>
      <w:r>
        <w:t xml:space="preserve">9.2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16" w:name="policy-limitations"/>
    <w:p>
      <w:pPr>
        <w:pStyle w:val="Heading3"/>
      </w:pPr>
      <w:r>
        <w:t xml:space="preserve">9.2.1 Policy limitations</w:t>
      </w:r>
    </w:p>
    <w:p>
      <w:pPr>
        <w:numPr>
          <w:ilvl w:val="0"/>
          <w:numId w:val="1023"/>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23"/>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23"/>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16"/>
    <w:bookmarkStart w:id="117" w:name="data-to-drive-the-new-approach"/>
    <w:p>
      <w:pPr>
        <w:pStyle w:val="Heading3"/>
      </w:pPr>
      <w:r>
        <w:t xml:space="preserve">9.2.2 Data to drive the new approach</w:t>
      </w:r>
    </w:p>
    <w:p>
      <w:pPr>
        <w:numPr>
          <w:ilvl w:val="0"/>
          <w:numId w:val="1024"/>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24"/>
        </w:numPr>
        <w:pStyle w:val="Compact"/>
      </w:pPr>
      <w:r>
        <w:t xml:space="preserve">temperature</w:t>
      </w:r>
    </w:p>
    <w:p>
      <w:pPr>
        <w:numPr>
          <w:ilvl w:val="0"/>
          <w:numId w:val="1024"/>
        </w:numPr>
        <w:pStyle w:val="Compact"/>
      </w:pPr>
      <w:r>
        <w:t xml:space="preserve">elevation</w:t>
      </w:r>
    </w:p>
    <w:bookmarkEnd w:id="117"/>
    <w:bookmarkStart w:id="118" w:name="advantages-for-the-data-driven-approach"/>
    <w:p>
      <w:pPr>
        <w:pStyle w:val="Heading3"/>
      </w:pPr>
      <w:r>
        <w:t xml:space="preserve">9.2.3 Advantages for the Data-driven approach</w:t>
      </w:r>
    </w:p>
    <w:p>
      <w:pPr>
        <w:numPr>
          <w:ilvl w:val="0"/>
          <w:numId w:val="1025"/>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25"/>
        </w:numPr>
        <w:pStyle w:val="Compact"/>
      </w:pPr>
      <w:r>
        <w:rPr>
          <w:bCs/>
          <w:b/>
        </w:rPr>
        <w:t xml:space="preserve">monitor</w:t>
      </w:r>
      <w:r>
        <w:t xml:space="preserve"> </w:t>
      </w:r>
      <w:r>
        <w:t xml:space="preserve">UHI effects based on associated land-temperature dynamics</w:t>
      </w:r>
    </w:p>
    <w:p>
      <w:pPr>
        <w:numPr>
          <w:ilvl w:val="0"/>
          <w:numId w:val="1025"/>
        </w:numPr>
        <w:pStyle w:val="Compact"/>
      </w:pPr>
      <w:r>
        <w:t xml:space="preserve">Assessment at finer spatial scales (e.g., block subdivisions)</w:t>
      </w:r>
    </w:p>
    <w:bookmarkEnd w:id="118"/>
    <w:bookmarkEnd w:id="119"/>
    <w:bookmarkStart w:id="122" w:name="methodology"/>
    <w:p>
      <w:pPr>
        <w:pStyle w:val="Heading2"/>
      </w:pPr>
      <w:r>
        <w:t xml:space="preserve">9.3 Methodology</w:t>
      </w:r>
    </w:p>
    <w:p>
      <w:r>
        <w:pict>
          <v:rect style="width:0;height:1.5pt" o:hralign="center" o:hrstd="t" o:hr="t"/>
        </w:pict>
      </w:r>
    </w:p>
    <w:bookmarkStart w:id="120" w:name="temperature-modeling"/>
    <w:p>
      <w:pPr>
        <w:pStyle w:val="Heading3"/>
      </w:pPr>
      <w:r>
        <w:t xml:space="preserve">9.3.1 Temperature Modeling</w:t>
      </w:r>
    </w:p>
    <w:p>
      <w:r>
        <w:pict>
          <v:rect style="width:0;height:1.5pt" o:hralign="center" o:hrstd="t" o:hr="t"/>
        </w:pict>
      </w:r>
    </w:p>
    <w:p>
      <w:pPr>
        <w:numPr>
          <w:ilvl w:val="0"/>
          <w:numId w:val="1026"/>
        </w:numPr>
        <w:pStyle w:val="Compact"/>
      </w:pPr>
      <w:r>
        <w:t xml:space="preserve">Modeled temperature every 3 hours using SOLWEIG model between 2008 and 2010</w:t>
      </w:r>
    </w:p>
    <w:p>
      <w:r>
        <w:pict>
          <v:rect style="width:0;height:1.5pt" o:hralign="center" o:hrstd="t" o:hr="t"/>
        </w:pict>
      </w:r>
    </w:p>
    <w:p>
      <w:pPr>
        <w:numPr>
          <w:ilvl w:val="0"/>
          <w:numId w:val="1027"/>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28"/>
        </w:numPr>
        <w:pStyle w:val="Compact"/>
      </w:pPr>
      <w:r>
        <w:t xml:space="preserve">SVF computed from vegetation canopy REM, building DSM, and ground DTM using UMEP plugin</w:t>
      </w:r>
    </w:p>
    <w:p>
      <w:r>
        <w:pict>
          <v:rect style="width:0;height:1.5pt" o:hralign="center" o:hrstd="t" o:hr="t"/>
        </w:pict>
      </w:r>
    </w:p>
    <w:p>
      <w:pPr>
        <w:numPr>
          <w:ilvl w:val="0"/>
          <w:numId w:val="1029"/>
        </w:numPr>
        <w:pStyle w:val="Compact"/>
      </w:pPr>
      <w:r>
        <w:t xml:space="preserve">Building wall heights and aspect generated from DSM and DTM using UMEP plugin</w:t>
      </w:r>
    </w:p>
    <w:p>
      <w:r>
        <w:pict>
          <v:rect style="width:0;height:1.5pt" o:hralign="center" o:hrstd="t" o:hr="t"/>
        </w:pict>
      </w:r>
    </w:p>
    <w:bookmarkEnd w:id="120"/>
    <w:bookmarkStart w:id="121" w:name="data-driven-tree-placement"/>
    <w:p>
      <w:pPr>
        <w:pStyle w:val="Heading3"/>
      </w:pPr>
      <w:r>
        <w:t xml:space="preserve">9.3.2 Data-Driven Tree Placement</w:t>
      </w:r>
    </w:p>
    <w:p>
      <w:r>
        <w:pict>
          <v:rect style="width:0;height:1.5pt" o:hralign="center" o:hrstd="t" o:hr="t"/>
        </w:pict>
      </w:r>
    </w:p>
    <w:p>
      <w:pPr>
        <w:numPr>
          <w:ilvl w:val="0"/>
          <w:numId w:val="1030"/>
        </w:numPr>
        <w:pStyle w:val="Compact"/>
      </w:pPr>
      <w:r>
        <w:t xml:space="preserve">Site selected for modeling temperature in the City of Fremantle</w:t>
      </w:r>
    </w:p>
    <w:p>
      <w:r>
        <w:pict>
          <v:rect style="width:0;height:1.5pt" o:hralign="center" o:hrstd="t" o:hr="t"/>
        </w:pict>
      </w:r>
    </w:p>
    <w:p>
      <w:pPr>
        <w:numPr>
          <w:ilvl w:val="0"/>
          <w:numId w:val="1031"/>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32"/>
        </w:numPr>
        <w:pStyle w:val="Compact"/>
      </w:pPr>
      <w:r>
        <w:t xml:space="preserve">Highest temperatures identified and used to redesign tree placement</w:t>
      </w:r>
    </w:p>
    <w:p>
      <w:r>
        <w:pict>
          <v:rect style="width:0;height:1.5pt" o:hralign="center" o:hrstd="t" o:hr="t"/>
        </w:pict>
      </w:r>
    </w:p>
    <w:p>
      <w:pPr>
        <w:numPr>
          <w:ilvl w:val="0"/>
          <w:numId w:val="1033"/>
        </w:numPr>
        <w:pStyle w:val="Compact"/>
      </w:pPr>
      <w:r>
        <w:t xml:space="preserve">15 trees distributed according to original design aspects</w:t>
      </w:r>
    </w:p>
    <w:p>
      <w:r>
        <w:pict>
          <v:rect style="width:0;height:1.5pt" o:hralign="center" o:hrstd="t" o:hr="t"/>
        </w:pict>
      </w:r>
    </w:p>
    <w:p>
      <w:pPr>
        <w:numPr>
          <w:ilvl w:val="0"/>
          <w:numId w:val="1034"/>
        </w:numPr>
        <w:pStyle w:val="Compact"/>
      </w:pPr>
      <w:r>
        <w:t xml:space="preserve">Updated vegetation canopy REM reflected new tree locations</w:t>
      </w:r>
    </w:p>
    <w:p>
      <w:r>
        <w:pict>
          <v:rect style="width:0;height:1.5pt" o:hralign="center" o:hrstd="t" o:hr="t"/>
        </w:pict>
      </w:r>
    </w:p>
    <w:p>
      <w:pPr>
        <w:numPr>
          <w:ilvl w:val="0"/>
          <w:numId w:val="1035"/>
        </w:numPr>
        <w:pStyle w:val="Compact"/>
      </w:pPr>
      <w:r>
        <w:t xml:space="preserve">Analysis re-run to compare temperature across redevelopment site</w:t>
      </w:r>
    </w:p>
    <w:p>
      <w:r>
        <w:pict>
          <v:rect style="width:0;height:1.5pt" o:hralign="center" o:hrstd="t" o:hr="t"/>
        </w:pict>
      </w:r>
    </w:p>
    <w:p>
      <w:pPr>
        <w:numPr>
          <w:ilvl w:val="0"/>
          <w:numId w:val="1036"/>
        </w:numPr>
        <w:pStyle w:val="Compact"/>
      </w:pPr>
      <w:r>
        <w:t xml:space="preserve">Modeled all scenarios accounting for influence of neighboring landscape features</w:t>
      </w:r>
    </w:p>
    <w:p>
      <w:r>
        <w:pict>
          <v:rect style="width:0;height:1.5pt" o:hralign="center" o:hrstd="t" o:hr="t"/>
        </w:pict>
      </w:r>
    </w:p>
    <w:bookmarkEnd w:id="121"/>
    <w:bookmarkEnd w:id="122"/>
    <w:bookmarkStart w:id="123" w:name="result"/>
    <w:p>
      <w:pPr>
        <w:pStyle w:val="Heading2"/>
      </w:pPr>
      <w:r>
        <w:t xml:space="preserve">9.4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23"/>
    <w:bookmarkStart w:id="124" w:name="reflection-4"/>
    <w:p>
      <w:pPr>
        <w:pStyle w:val="Heading2"/>
      </w:pPr>
      <w:r>
        <w:t xml:space="preserve">9.5 Reflection</w:t>
      </w:r>
    </w:p>
    <w:p>
      <w:pPr>
        <w:numPr>
          <w:ilvl w:val="0"/>
          <w:numId w:val="1037"/>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24"/>
    <w:bookmarkEnd w:id="125"/>
    <w:bookmarkStart w:id="136" w:name="Xf25d4a036a0a11b071de824447f9beda0b29a41"/>
    <w:p>
      <w:pPr>
        <w:pStyle w:val="Heading1"/>
      </w:pPr>
      <w:r>
        <w:t xml:space="preserve">10. Week 9 -</w:t>
      </w:r>
      <w:r>
        <w:t xml:space="preserve"> </w:t>
      </w:r>
      <w:r>
        <w:rPr>
          <w:bCs/>
          <w:b/>
        </w:rPr>
        <w:t xml:space="preserve">Synthetic Aperture Radar (SAR) data</w:t>
      </w:r>
    </w:p>
    <w:bookmarkStart w:id="134" w:name="summary-7"/>
    <w:p>
      <w:pPr>
        <w:pStyle w:val="Heading2"/>
      </w:pPr>
      <w:r>
        <w:t xml:space="preserve">10.1 Summary</w:t>
      </w:r>
    </w:p>
    <w:p>
      <w:pPr>
        <w:pStyle w:val="FirstParagraph"/>
      </w:pPr>
      <w:r>
        <w:t xml:space="preserve">This week addresses problems in</w:t>
      </w:r>
    </w:p>
    <w:p>
      <w:pPr>
        <w:numPr>
          <w:ilvl w:val="0"/>
          <w:numId w:val="1038"/>
        </w:numPr>
        <w:pStyle w:val="Compact"/>
      </w:pPr>
      <w:r>
        <w:t xml:space="preserve">The object of using Synthetic Aperture Radar (SAR)</w:t>
      </w:r>
    </w:p>
    <w:p>
      <w:pPr>
        <w:pStyle w:val="FirstParagraph"/>
      </w:pPr>
      <w:r>
        <w:t xml:space="preserve">Detecting changes in the Earth’s surface over time</w:t>
      </w:r>
    </w:p>
    <w:p>
      <w:pPr>
        <w:numPr>
          <w:ilvl w:val="0"/>
          <w:numId w:val="1039"/>
        </w:numPr>
        <w:pStyle w:val="Compact"/>
      </w:pPr>
      <w:r>
        <w:t xml:space="preserve">The advantages of SAR for change detection</w:t>
      </w:r>
    </w:p>
    <w:p>
      <w:pPr>
        <w:numPr>
          <w:ilvl w:val="1"/>
          <w:numId w:val="1040"/>
        </w:numPr>
        <w:pStyle w:val="Compact"/>
      </w:pPr>
      <w:r>
        <w:t xml:space="preserve">see through clouds</w:t>
      </w:r>
    </w:p>
    <w:p>
      <w:pPr>
        <w:numPr>
          <w:ilvl w:val="1"/>
          <w:numId w:val="1040"/>
        </w:numPr>
        <w:pStyle w:val="Compact"/>
      </w:pPr>
      <w:r>
        <w:t xml:space="preserve">high temporal resolution</w:t>
      </w:r>
    </w:p>
    <w:p>
      <w:pPr>
        <w:numPr>
          <w:ilvl w:val="0"/>
          <w:numId w:val="1039"/>
        </w:numPr>
        <w:pStyle w:val="Compact"/>
      </w:pPr>
      <w:r>
        <w:t xml:space="preserve">Techniques for change detection with SAR?</w:t>
      </w:r>
    </w:p>
    <w:p>
      <w:pPr>
        <w:numPr>
          <w:ilvl w:val="1"/>
          <w:numId w:val="1041"/>
        </w:numPr>
        <w:pStyle w:val="Compact"/>
      </w:pPr>
      <w:r>
        <w:t xml:space="preserve">ratio</w:t>
      </w:r>
    </w:p>
    <w:p>
      <w:pPr>
        <w:numPr>
          <w:ilvl w:val="1"/>
          <w:numId w:val="1041"/>
        </w:numPr>
        <w:pStyle w:val="Compact"/>
      </w:pPr>
      <w:r>
        <w:t xml:space="preserve">log ratios between two images</w:t>
      </w:r>
    </w:p>
    <w:p>
      <w:pPr>
        <w:numPr>
          <w:ilvl w:val="1"/>
          <w:numId w:val="1041"/>
        </w:numPr>
        <w:pStyle w:val="Compact"/>
      </w:pPr>
      <w:r>
        <w:t xml:space="preserve">t-tests</w:t>
      </w:r>
    </w:p>
    <w:p>
      <w:pPr>
        <w:numPr>
          <w:ilvl w:val="0"/>
          <w:numId w:val="1039"/>
        </w:numPr>
        <w:pStyle w:val="Compact"/>
      </w:pPr>
      <w:r>
        <w:t xml:space="preserve">fused with other data?</w:t>
      </w:r>
    </w:p>
    <w:p>
      <w:pPr>
        <w:pStyle w:val="FirstParagraph"/>
      </w:pPr>
      <w:r>
        <w:t xml:space="preserve">Yes, with optical data using techniques such as</w:t>
      </w:r>
    </w:p>
    <w:p>
      <w:pPr>
        <w:numPr>
          <w:ilvl w:val="0"/>
          <w:numId w:val="1042"/>
        </w:numPr>
        <w:pStyle w:val="Compact"/>
      </w:pPr>
      <w:r>
        <w:t xml:space="preserve">principal component analysis</w:t>
      </w:r>
    </w:p>
    <w:p>
      <w:pPr>
        <w:numPr>
          <w:ilvl w:val="0"/>
          <w:numId w:val="1042"/>
        </w:numPr>
        <w:pStyle w:val="Compact"/>
      </w:pPr>
      <w:r>
        <w:t xml:space="preserve">object-based image analysis</w:t>
      </w:r>
    </w:p>
    <w:p>
      <w:pPr>
        <w:numPr>
          <w:ilvl w:val="0"/>
          <w:numId w:val="1042"/>
        </w:numPr>
        <w:pStyle w:val="Compact"/>
      </w:pPr>
      <w:r>
        <w:t xml:space="preserve">intensity fusion</w:t>
      </w:r>
    </w:p>
    <w:p>
      <w:pPr>
        <w:numPr>
          <w:ilvl w:val="0"/>
          <w:numId w:val="1043"/>
        </w:numPr>
        <w:pStyle w:val="Compact"/>
      </w:pPr>
      <w:r>
        <w:t xml:space="preserve">Applications?</w:t>
      </w:r>
    </w:p>
    <w:p>
      <w:pPr>
        <w:numPr>
          <w:ilvl w:val="1"/>
          <w:numId w:val="1044"/>
        </w:numPr>
        <w:pStyle w:val="Compact"/>
      </w:pPr>
      <w:r>
        <w:t xml:space="preserve">monitoring land use changes</w:t>
      </w:r>
    </w:p>
    <w:p>
      <w:pPr>
        <w:numPr>
          <w:ilvl w:val="1"/>
          <w:numId w:val="1044"/>
        </w:numPr>
        <w:pStyle w:val="Compact"/>
      </w:pPr>
      <w:r>
        <w:t xml:space="preserve">detecting deforestation</w:t>
      </w:r>
    </w:p>
    <w:p>
      <w:pPr>
        <w:numPr>
          <w:ilvl w:val="1"/>
          <w:numId w:val="1044"/>
        </w:numPr>
        <w:pStyle w:val="Compact"/>
      </w:pPr>
      <w:r>
        <w:t xml:space="preserve">identifying urban growth pattern</w:t>
      </w:r>
    </w:p>
    <w:bookmarkStart w:id="131" w:name="possible-future-developments"/>
    <w:p>
      <w:pPr>
        <w:pStyle w:val="Heading3"/>
      </w:pPr>
      <w:r>
        <w:t xml:space="preserve">10.1.1 Possible future developments</w:t>
      </w:r>
    </w:p>
    <w:p>
      <w:pPr>
        <w:numPr>
          <w:ilvl w:val="0"/>
          <w:numId w:val="1045"/>
        </w:numPr>
        <w:pStyle w:val="Compact"/>
      </w:pPr>
      <w:r>
        <w:t xml:space="preserve">Resolution and accuracy:</w:t>
      </w:r>
    </w:p>
    <w:p>
      <w:pPr>
        <w:numPr>
          <w:ilvl w:val="1"/>
          <w:numId w:val="1046"/>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45"/>
        </w:numPr>
        <w:pStyle w:val="Compact"/>
      </w:pPr>
      <w:r>
        <w:t xml:space="preserve">Data processing capabilities</w:t>
      </w:r>
    </w:p>
    <w:p>
      <w:pPr>
        <w:numPr>
          <w:ilvl w:val="1"/>
          <w:numId w:val="1047"/>
        </w:numPr>
        <w:pStyle w:val="Compact"/>
      </w:pPr>
      <w:r>
        <w:t xml:space="preserve">Disaster response: The ability to process larger datasets and monitor Earth’s surface in near real-time can inform global policies and agreements related to disaster management, such as the</w:t>
      </w:r>
      <w:r>
        <w:t xml:space="preserve"> </w:t>
      </w:r>
      <w:hyperlink r:id="rId126">
        <w:r>
          <w:rPr>
            <w:rStyle w:val="Hyperlink"/>
          </w:rPr>
          <w:t xml:space="preserve">Sendai Framework for Disaster Risk Reduction</w:t>
        </w:r>
      </w:hyperlink>
      <w:r>
        <w:t xml:space="preserve">. Rapid response to natural disasters, like earthquakes or hurricanes, can be coordinated more effectively with updated SAR data, allowing for quicker deployment of resources and better management of affected areas.</w:t>
      </w:r>
    </w:p>
    <w:p>
      <w:pPr>
        <w:numPr>
          <w:ilvl w:val="0"/>
          <w:numId w:val="1045"/>
        </w:numPr>
        <w:pStyle w:val="Compact"/>
      </w:pPr>
      <w:r>
        <w:t xml:space="preserve">New SAR applications</w:t>
      </w:r>
    </w:p>
    <w:p>
      <w:pPr>
        <w:numPr>
          <w:ilvl w:val="1"/>
          <w:numId w:val="1048"/>
        </w:numPr>
        <w:pStyle w:val="Compact"/>
      </w:pPr>
      <w:r>
        <w:t xml:space="preserve">Agricultural: Advancements in SAR technology will expand its use in change detection and monitoring. This will support policies like the</w:t>
      </w:r>
      <w:r>
        <w:t xml:space="preserve"> </w:t>
      </w:r>
      <w:hyperlink r:id="rId127">
        <w:r>
          <w:rPr>
            <w:rStyle w:val="Hyperlink"/>
          </w:rPr>
          <w:t xml:space="preserve">European Union’s Common Agricultural Policy (CAP)</w:t>
        </w:r>
      </w:hyperlink>
      <w:r>
        <w:t xml:space="preserve">, by providing data on crop health, irrigation needs, and land use changes.</w:t>
      </w:r>
    </w:p>
    <w:p>
      <w:pPr>
        <w:numPr>
          <w:ilvl w:val="1"/>
          <w:numId w:val="1048"/>
        </w:numPr>
        <w:pStyle w:val="Compact"/>
      </w:pPr>
      <w:r>
        <w:t xml:space="preserve">Forestry (deforestation and reforestation tracking)</w:t>
      </w:r>
    </w:p>
    <w:p>
      <w:pPr>
        <w:numPr>
          <w:ilvl w:val="1"/>
          <w:numId w:val="1048"/>
        </w:numPr>
        <w:pStyle w:val="Compact"/>
      </w:pPr>
      <w:r>
        <w:t xml:space="preserve">Disaster response (flood and landslide monitoring)</w:t>
      </w:r>
    </w:p>
    <w:p>
      <w:pPr>
        <w:numPr>
          <w:ilvl w:val="1"/>
          <w:numId w:val="1048"/>
        </w:numPr>
        <w:pStyle w:val="Compact"/>
      </w:pPr>
      <w:r>
        <w:t xml:space="preserve">Environmental management: SAR data can inform policies related to wetland and coastal zone management, such as the</w:t>
      </w:r>
      <w:r>
        <w:t xml:space="preserve"> </w:t>
      </w:r>
      <w:hyperlink r:id="rId128">
        <w:r>
          <w:rPr>
            <w:rStyle w:val="Hyperlink"/>
          </w:rPr>
          <w:t xml:space="preserve">Ramsar Convention on Wetlands</w:t>
        </w:r>
      </w:hyperlink>
      <w:r>
        <w:t xml:space="preserve"> </w:t>
      </w:r>
      <w:r>
        <w:t xml:space="preserve">and the</w:t>
      </w:r>
      <w:r>
        <w:t xml:space="preserve"> </w:t>
      </w:r>
      <w:hyperlink r:id="rId129">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45"/>
        </w:numPr>
        <w:pStyle w:val="Compact"/>
      </w:pPr>
      <w:r>
        <w:t xml:space="preserve">Machine learning and artificial intelligence:</w:t>
      </w:r>
    </w:p>
    <w:p>
      <w:pPr>
        <w:numPr>
          <w:ilvl w:val="1"/>
          <w:numId w:val="1049"/>
        </w:numPr>
        <w:pStyle w:val="Compact"/>
      </w:pPr>
      <w:r>
        <w:t xml:space="preserve">Advanced algorithms will be able to identify and classify features and changes in SAR data analysis in the Earth’s surface, improving the overall accuracy of change detection, thus supporting climate change adaptation efforts at both local and global levels, including the</w:t>
      </w:r>
      <w:r>
        <w:t xml:space="preserve"> </w:t>
      </w:r>
      <w:hyperlink r:id="rId130">
        <w:r>
          <w:rPr>
            <w:rStyle w:val="Hyperlink"/>
          </w:rPr>
          <w:t xml:space="preserve">United Nations Framework Convention on Climate Change (UNFCCC)</w:t>
        </w:r>
      </w:hyperlink>
      <w:r>
        <w:t xml:space="preserve"> </w:t>
      </w:r>
      <w:r>
        <w:t xml:space="preserve">and the</w:t>
      </w:r>
      <w:r>
        <w:t xml:space="preserve"> </w:t>
      </w:r>
      <w:hyperlink r:id="rId130">
        <w:r>
          <w:rPr>
            <w:rStyle w:val="Hyperlink"/>
          </w:rPr>
          <w:t xml:space="preserve">Paris Agreement</w:t>
        </w:r>
      </w:hyperlink>
      <w:r>
        <w:t xml:space="preserve">. Predictive models based on SAR data can help policymakers identify areas at risk of flooding, coastal erosion, or other climate-related impacts, enabling the development of targeted adaptation strategies.</w:t>
      </w:r>
    </w:p>
    <w:p>
      <w:pPr>
        <w:pStyle w:val="FirstParagraph"/>
      </w:pPr>
      <w:r>
        <w:t xml:space="preserve">In conclusion, advancements in SAR technology, combined with the integration of machine learning and artificial intelligence, will significantly enhance the capabilities for change detection and Earth surface monitoring. These developments will have far-reaching implications for various sectors, including agriculture, forestry, disaster management, and environmental protection, ultimately influencing policymaking and promoting more informed decision-making processes.</w:t>
      </w:r>
    </w:p>
    <w:bookmarkEnd w:id="131"/>
    <w:bookmarkStart w:id="132" w:name="sar-fundamentals"/>
    <w:p>
      <w:pPr>
        <w:pStyle w:val="Heading3"/>
      </w:pPr>
      <w:r>
        <w:t xml:space="preserve">10.1.2 SAR fundamentals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Definition</w:t>
            </w:r>
          </w:p>
        </w:tc>
        <w:tc>
          <w:tcPr/>
          <w:p>
            <w:pPr>
              <w:pStyle w:val="Compact"/>
              <w:jc w:val="left"/>
            </w:pPr>
            <w:r>
              <w:t xml:space="preserve">Synthetic Aperture Radar (SAR) is a type of radar that uses microwave signals to create high-resolution images of the Earth’s surface.</w:t>
            </w:r>
          </w:p>
        </w:tc>
      </w:tr>
      <w:tr>
        <w:tc>
          <w:tcPr/>
          <w:p>
            <w:pPr>
              <w:pStyle w:val="Compact"/>
              <w:jc w:val="left"/>
            </w:pPr>
            <w:r>
              <w:t xml:space="preserve">Advantages</w:t>
            </w:r>
          </w:p>
        </w:tc>
        <w:tc>
          <w:tcPr/>
          <w:p>
            <w:pPr>
              <w:pStyle w:val="Compact"/>
              <w:jc w:val="left"/>
            </w:pPr>
            <w:r>
              <w:t xml:space="preserve">Operates in all weather conditions; penetrates through clouds and vegetation cover.</w:t>
            </w:r>
          </w:p>
        </w:tc>
      </w:tr>
      <w:tr>
        <w:tc>
          <w:tcPr/>
          <w:p>
            <w:pPr>
              <w:pStyle w:val="Compact"/>
              <w:jc w:val="left"/>
            </w:pPr>
            <w:r>
              <w:t xml:space="preserve">Limitations</w:t>
            </w:r>
          </w:p>
        </w:tc>
        <w:tc>
          <w:tcPr/>
          <w:p>
            <w:pPr>
              <w:pStyle w:val="Compact"/>
              <w:jc w:val="left"/>
            </w:pPr>
            <w:r>
              <w:t xml:space="preserve">Sensitive to surface roughness; limited spatial resolution.</w:t>
            </w:r>
          </w:p>
        </w:tc>
      </w:tr>
      <w:tr>
        <w:tc>
          <w:tcPr/>
          <w:p>
            <w:pPr>
              <w:pStyle w:val="Compact"/>
              <w:jc w:val="left"/>
            </w:pPr>
            <w:r>
              <w:t xml:space="preserve">Processing Techniques</w:t>
            </w:r>
          </w:p>
        </w:tc>
        <w:tc>
          <w:tcPr/>
          <w:p>
            <w:pPr>
              <w:pStyle w:val="Compact"/>
              <w:jc w:val="left"/>
            </w:pPr>
            <w:r>
              <w:t xml:space="preserve">Interferometry: combines multiple SAR images to create 3D maps of the Earth’s surface. Polarimetry: analyzes the polarization properties of reflected signals to extract additional information about surface features.</w:t>
            </w:r>
          </w:p>
        </w:tc>
      </w:tr>
      <w:tr>
        <w:tc>
          <w:tcPr/>
          <w:p>
            <w:pPr>
              <w:pStyle w:val="Compact"/>
              <w:jc w:val="left"/>
            </w:pPr>
            <w:r>
              <w:t xml:space="preserve">Applications</w:t>
            </w:r>
          </w:p>
        </w:tc>
        <w:tc>
          <w:tcPr/>
          <w:p>
            <w:pPr>
              <w:pStyle w:val="Compact"/>
              <w:jc w:val="left"/>
            </w:pPr>
            <w:r>
              <w:t xml:space="preserve">Environmental monitoring, disaster response, urban planning, military surveillance, and more.</w:t>
            </w:r>
          </w:p>
        </w:tc>
      </w:tr>
    </w:tbl>
    <w:bookmarkEnd w:id="132"/>
    <w:bookmarkStart w:id="133" w:name="practical-change-detection-with-sar"/>
    <w:p>
      <w:pPr>
        <w:pStyle w:val="Heading3"/>
      </w:pPr>
      <w:r>
        <w:t xml:space="preserve">10.1.3 Practical change detection with SAR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33"/>
    <w:bookmarkEnd w:id="134"/>
    <w:bookmarkStart w:id="135" w:name="application-3"/>
    <w:p>
      <w:pPr>
        <w:pStyle w:val="Heading2"/>
      </w:pPr>
      <w:r>
        <w:t xml:space="preserve">10.2 Application</w:t>
      </w:r>
    </w:p>
    <w:bookmarkEnd w:id="135"/>
    <w:bookmarkEnd w:id="136"/>
    <w:bookmarkStart w:id="137" w:name="summary-8"/>
    <w:p>
      <w:pPr>
        <w:pStyle w:val="Heading1"/>
      </w:pPr>
      <w:r>
        <w:t xml:space="preserve">11.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37"/>
    <w:bookmarkStart w:id="155" w:name="references"/>
    <w:p>
      <w:pPr>
        <w:pStyle w:val="Heading1"/>
      </w:pPr>
      <w:r>
        <w:t xml:space="preserve">References</w:t>
      </w:r>
    </w:p>
    <w:bookmarkStart w:id="154" w:name="refs"/>
    <w:bookmarkStart w:id="139"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38">
        <w:r>
          <w:rPr>
            <w:rStyle w:val="Hyperlink"/>
          </w:rPr>
          <w:t xml:space="preserve">https://developers.google.com/earth-engine/guides/machine-learning</w:t>
        </w:r>
      </w:hyperlink>
      <w:r>
        <w:t xml:space="preserve">.</w:t>
      </w:r>
    </w:p>
    <w:bookmarkEnd w:id="139"/>
    <w:bookmarkStart w:id="141"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40">
        <w:r>
          <w:rPr>
            <w:rStyle w:val="Hyperlink"/>
          </w:rPr>
          <w:t xml:space="preserve">https://developers.google.com/earth-engine/guides/reducers_intro</w:t>
        </w:r>
      </w:hyperlink>
      <w:r>
        <w:t xml:space="preserve">.</w:t>
      </w:r>
    </w:p>
    <w:bookmarkEnd w:id="141"/>
    <w:bookmarkStart w:id="143"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4"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44"/>
    <w:bookmarkStart w:id="146"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45">
        <w:r>
          <w:rPr>
            <w:rStyle w:val="Hyperlink"/>
          </w:rPr>
          <w:t xml:space="preserve">https://www.frontiersin.org/articles/10.3389/fbuil.2020.519599</w:t>
        </w:r>
      </w:hyperlink>
      <w:r>
        <w:t xml:space="preserve">.</w:t>
      </w:r>
    </w:p>
    <w:bookmarkEnd w:id="146"/>
    <w:bookmarkStart w:id="147"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47"/>
    <w:bookmarkStart w:id="149" w:name="ref-robison2018future"/>
    <w:p>
      <w:pPr>
        <w:pStyle w:val="Bibliography"/>
      </w:pPr>
      <w:r>
        <w:t xml:space="preserve">Robison, Keela. 2018.</w:t>
      </w:r>
      <w:r>
        <w:t xml:space="preserve"> </w:t>
      </w:r>
      <w:r>
        <w:t xml:space="preserve">“The Future of Image Annotation: Human in the Loop.”</w:t>
      </w:r>
      <w:r>
        <w:t xml:space="preserve"> </w:t>
      </w:r>
      <w:hyperlink r:id="rId148">
        <w:r>
          <w:rPr>
            <w:rStyle w:val="Hyperlink"/>
          </w:rPr>
          <w:t xml:space="preserve">https://lionbridge.ai/articles/the-future-of-image-annotation-human-in-the-loop/</w:t>
        </w:r>
      </w:hyperlink>
      <w:r>
        <w:t xml:space="preserve">.</w:t>
      </w:r>
    </w:p>
    <w:bookmarkEnd w:id="149"/>
    <w:bookmarkStart w:id="151"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50">
        <w:r>
          <w:rPr>
            <w:rStyle w:val="Hyperlink"/>
          </w:rPr>
          <w:t xml:space="preserve">https://doi.org/10.1016/j.rsase.2023.100941</w:t>
        </w:r>
      </w:hyperlink>
      <w:r>
        <w:t xml:space="preserve">.</w:t>
      </w:r>
    </w:p>
    <w:bookmarkEnd w:id="151"/>
    <w:bookmarkStart w:id="153"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52">
        <w:r>
          <w:rPr>
            <w:rStyle w:val="Hyperlink"/>
          </w:rPr>
          <w:t xml:space="preserve">https://doi.org/10.1111/2041-210X.12942</w:t>
        </w:r>
      </w:hyperlink>
      <w:r>
        <w:t xml:space="preserve">.</w:t>
      </w:r>
    </w:p>
    <w:bookmarkEnd w:id="153"/>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96" Target="media/rId96.png" /><Relationship Type="http://schemas.openxmlformats.org/officeDocument/2006/relationships/image" Id="rId51" Target="media/rId51.png" /><Relationship Type="http://schemas.openxmlformats.org/officeDocument/2006/relationships/image" Id="rId87" Target="media/rId87.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hyperlink" Id="rId138" Target="https://developers.google.com/earth-engine/guides/machine-learning" TargetMode="External" /><Relationship Type="http://schemas.openxmlformats.org/officeDocument/2006/relationships/hyperlink" Id="rId140" Target="https://developers.google.com/earth-engine/guides/reducers_intro" TargetMode="External" /><Relationship Type="http://schemas.openxmlformats.org/officeDocument/2006/relationships/hyperlink" Id="rId150" Target="https://doi.org/10.1016/j.rsase.2023.100941" TargetMode="External" /><Relationship Type="http://schemas.openxmlformats.org/officeDocument/2006/relationships/hyperlink" Id="rId142" Target="https://doi.org/10.1016/j.rse.2017.06.031" TargetMode="External" /><Relationship Type="http://schemas.openxmlformats.org/officeDocument/2006/relationships/hyperlink" Id="rId152" Target="https://doi.org/10.1111/2041-210X.12942" TargetMode="External" /><Relationship Type="http://schemas.openxmlformats.org/officeDocument/2006/relationships/hyperlink" Id="rId127" Target="https://ec.europa.eu/info/food-farming-fisheries/key-policies/common-agricultural-policy/cap-glance_en" TargetMode="External" /><Relationship Type="http://schemas.openxmlformats.org/officeDocument/2006/relationships/hyperlink" Id="rId148" Target="https://lionbridge.ai/articles/the-future-of-image-annotation-human-in-the-loop/" TargetMode="External" /><Relationship Type="http://schemas.openxmlformats.org/officeDocument/2006/relationships/hyperlink" Id="rId83" Target="https://ncics.org/data/noaa-big-data-project/" TargetMode="External" /><Relationship Type="http://schemas.openxmlformats.org/officeDocument/2006/relationships/hyperlink" Id="rId130" Target="https://unfccc.int/" TargetMode="External" /><Relationship Type="http://schemas.openxmlformats.org/officeDocument/2006/relationships/hyperlink" Id="rId82" Target="https://unfccc.int/topics/land-use/workstreams/reddplus" TargetMode="External" /><Relationship Type="http://schemas.openxmlformats.org/officeDocument/2006/relationships/hyperlink" Id="rId81" Target="https://www.copernicus.eu/en" TargetMode="External" /><Relationship Type="http://schemas.openxmlformats.org/officeDocument/2006/relationships/hyperlink" Id="rId145" Target="https://www.frontiersin.org/articles/10.3389/fbuil.2020.519599" TargetMode="External" /><Relationship Type="http://schemas.openxmlformats.org/officeDocument/2006/relationships/hyperlink" Id="rId128" Target="https://www.ramsar.org/" TargetMode="External" /><Relationship Type="http://schemas.openxmlformats.org/officeDocument/2006/relationships/hyperlink" Id="rId129" Target="https://www.un.org/Depts/los/convention_agreements/convention_overview_convention.htm" TargetMode="External" /><Relationship Type="http://schemas.openxmlformats.org/officeDocument/2006/relationships/hyperlink" Id="rId126"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138" Target="https://developers.google.com/earth-engine/guides/machine-learning" TargetMode="External" /><Relationship Type="http://schemas.openxmlformats.org/officeDocument/2006/relationships/hyperlink" Id="rId140" Target="https://developers.google.com/earth-engine/guides/reducers_intro" TargetMode="External" /><Relationship Type="http://schemas.openxmlformats.org/officeDocument/2006/relationships/hyperlink" Id="rId150" Target="https://doi.org/10.1016/j.rsase.2023.100941" TargetMode="External" /><Relationship Type="http://schemas.openxmlformats.org/officeDocument/2006/relationships/hyperlink" Id="rId142" Target="https://doi.org/10.1016/j.rse.2017.06.031" TargetMode="External" /><Relationship Type="http://schemas.openxmlformats.org/officeDocument/2006/relationships/hyperlink" Id="rId152" Target="https://doi.org/10.1111/2041-210X.12942" TargetMode="External" /><Relationship Type="http://schemas.openxmlformats.org/officeDocument/2006/relationships/hyperlink" Id="rId127" Target="https://ec.europa.eu/info/food-farming-fisheries/key-policies/common-agricultural-policy/cap-glance_en" TargetMode="External" /><Relationship Type="http://schemas.openxmlformats.org/officeDocument/2006/relationships/hyperlink" Id="rId148" Target="https://lionbridge.ai/articles/the-future-of-image-annotation-human-in-the-loop/" TargetMode="External" /><Relationship Type="http://schemas.openxmlformats.org/officeDocument/2006/relationships/hyperlink" Id="rId83" Target="https://ncics.org/data/noaa-big-data-project/" TargetMode="External" /><Relationship Type="http://schemas.openxmlformats.org/officeDocument/2006/relationships/hyperlink" Id="rId130" Target="https://unfccc.int/" TargetMode="External" /><Relationship Type="http://schemas.openxmlformats.org/officeDocument/2006/relationships/hyperlink" Id="rId82" Target="https://unfccc.int/topics/land-use/workstreams/reddplus" TargetMode="External" /><Relationship Type="http://schemas.openxmlformats.org/officeDocument/2006/relationships/hyperlink" Id="rId81" Target="https://www.copernicus.eu/en" TargetMode="External" /><Relationship Type="http://schemas.openxmlformats.org/officeDocument/2006/relationships/hyperlink" Id="rId145" Target="https://www.frontiersin.org/articles/10.3389/fbuil.2020.519599" TargetMode="External" /><Relationship Type="http://schemas.openxmlformats.org/officeDocument/2006/relationships/hyperlink" Id="rId128" Target="https://www.ramsar.org/" TargetMode="External" /><Relationship Type="http://schemas.openxmlformats.org/officeDocument/2006/relationships/hyperlink" Id="rId129" Target="https://www.un.org/Depts/los/convention_agreements/convention_overview_convention.htm" TargetMode="External" /><Relationship Type="http://schemas.openxmlformats.org/officeDocument/2006/relationships/hyperlink" Id="rId126"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2023-03-17T02:16:01Z</dcterms:created>
  <dcterms:modified xsi:type="dcterms:W3CDTF">2023-03-17T02:16:01Z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